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4362" w:rsidT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4362" w:rsidTr="00336E54">
        <w:tc>
          <w:tcPr>
            <w:tcW w:w="8856" w:type="dxa"/>
            <w:shd w:val="clear" w:color="auto" w:fill="E0B716"/>
          </w:tcPr>
          <w:p w:rsidR="00924362" w:rsidRPr="00336E54" w:rsidRDefault="00551880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Danvers city, Swift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360AF" w:rsidT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F218F3">
              <w:rPr>
                <w:color w:val="FFFFFF" w:themeColor="background1"/>
                <w:sz w:val="28"/>
                <w:szCs w:val="28"/>
              </w:rPr>
              <w:t>2000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924362" w:rsidTr="00924362">
        <w:tc>
          <w:tcPr>
            <w:tcW w:w="8856" w:type="dxa"/>
            <w:gridSpan w:val="2"/>
            <w:shd w:val="clear" w:color="auto" w:fill="0000FF"/>
          </w:tcPr>
          <w:p w:rsidR="00924362" w:rsidRPr="00924362" w:rsidRDefault="00924362" w:rsidP="00336E54">
            <w:pPr>
              <w:jc w:val="center"/>
              <w:rPr>
                <w:sz w:val="28"/>
                <w:szCs w:val="28"/>
              </w:rPr>
            </w:pPr>
            <w:r w:rsidRPr="00924362">
              <w:rPr>
                <w:sz w:val="28"/>
                <w:szCs w:val="28"/>
              </w:rPr>
              <w:t>Demographic</w:t>
            </w:r>
            <w:r w:rsidR="00404D34">
              <w:rPr>
                <w:rStyle w:val="FootnoteReference"/>
                <w:sz w:val="28"/>
                <w:szCs w:val="28"/>
              </w:rPr>
              <w:footnoteReference w:id="1"/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F218F3" w:rsidP="00924362">
            <w:r>
              <w:t>108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F218F3" w:rsidP="00924362">
            <w:r>
              <w:t>39.0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F218F3" w:rsidP="00924362">
            <w:r>
              <w:t>54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F218F3" w:rsidP="00924362">
            <w:r>
              <w:t>54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F218F3" w:rsidP="00924362">
            <w:r>
              <w:t>108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F218F3" w:rsidP="00924362">
            <w:r>
              <w:t>0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F218F3" w:rsidP="00924362">
            <w:r>
              <w:t>0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F218F3" w:rsidP="00924362">
            <w:r>
              <w:t>0</w:t>
            </w:r>
          </w:p>
        </w:tc>
      </w:tr>
      <w:tr w:rsidR="00924362" w:rsidTr="00924362">
        <w:tc>
          <w:tcPr>
            <w:tcW w:w="4428" w:type="dxa"/>
          </w:tcPr>
          <w:p w:rsidR="00924362" w:rsidRDefault="00404D34" w:rsidP="00F218F3">
            <w:r>
              <w:t>Total Hous</w:t>
            </w:r>
            <w:r w:rsidR="00F218F3">
              <w:t>eholds</w:t>
            </w:r>
          </w:p>
        </w:tc>
        <w:tc>
          <w:tcPr>
            <w:tcW w:w="4428" w:type="dxa"/>
          </w:tcPr>
          <w:p w:rsidR="00924362" w:rsidRDefault="00F218F3" w:rsidP="00924362">
            <w:r>
              <w:t>43</w:t>
            </w:r>
          </w:p>
        </w:tc>
      </w:tr>
    </w:tbl>
    <w:p w:rsidR="0050196A" w:rsidRDefault="0050196A" w:rsidP="0092436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5850"/>
      </w:tblGrid>
      <w:tr w:rsidR="0050196A" w:rsidTr="0050196A">
        <w:tc>
          <w:tcPr>
            <w:tcW w:w="8838" w:type="dxa"/>
            <w:gridSpan w:val="2"/>
            <w:shd w:val="clear" w:color="auto" w:fill="E36C0A" w:themeFill="accent6" w:themeFillShade="BF"/>
          </w:tcPr>
          <w:p w:rsidR="0050196A" w:rsidRPr="00404D34" w:rsidRDefault="0050196A" w:rsidP="007B40E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Local Employment Dynamics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50196A" w:rsidTr="007B40E4">
        <w:tc>
          <w:tcPr>
            <w:tcW w:w="2988" w:type="dxa"/>
          </w:tcPr>
          <w:p w:rsidR="0050196A" w:rsidRDefault="0050196A" w:rsidP="00924362">
            <w:r>
              <w:t>Percent Employed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5850" w:type="dxa"/>
          </w:tcPr>
          <w:p w:rsidR="0050196A" w:rsidRDefault="00065F5D" w:rsidP="00924362">
            <w:r>
              <w:t>55.9%</w:t>
            </w:r>
          </w:p>
        </w:tc>
      </w:tr>
      <w:tr w:rsidR="0050196A" w:rsidTr="007B40E4">
        <w:tc>
          <w:tcPr>
            <w:tcW w:w="2988" w:type="dxa"/>
          </w:tcPr>
          <w:p w:rsidR="0050196A" w:rsidRDefault="0050196A" w:rsidP="00924362">
            <w:r>
              <w:t>Percent Unemployed</w:t>
            </w:r>
            <w:r>
              <w:rPr>
                <w:rStyle w:val="FootnoteReference"/>
              </w:rPr>
              <w:footnoteReference w:id="4"/>
            </w:r>
          </w:p>
        </w:tc>
        <w:tc>
          <w:tcPr>
            <w:tcW w:w="5850" w:type="dxa"/>
          </w:tcPr>
          <w:p w:rsidR="0050196A" w:rsidRDefault="00065F5D" w:rsidP="00924362">
            <w:r>
              <w:t>0</w:t>
            </w:r>
          </w:p>
        </w:tc>
      </w:tr>
    </w:tbl>
    <w:p w:rsidR="00E9313E" w:rsidRDefault="00E9313E" w:rsidP="00336E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D3920" w:rsidT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065F5D" w:rsidP="00924362">
            <w:r>
              <w:t>86.8%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065F5D" w:rsidP="00924362">
            <w:r>
              <w:t>73.7%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065F5D" w:rsidP="00924362">
            <w:r>
              <w:t>13.2%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065F5D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065F5D" w:rsidP="00924362">
            <w:r>
              <w:t>5.3%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065F5D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065F5D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065F5D" w:rsidP="00924362">
            <w:r>
              <w:t>7.9%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065F5D" w:rsidP="00924362">
            <w:r>
              <w:t>33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065F5D" w:rsidP="00924362">
            <w:r>
              <w:t>5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065F5D" w:rsidP="00924362">
            <w:r>
              <w:t xml:space="preserve">18.1 </w:t>
            </w:r>
            <w:proofErr w:type="spellStart"/>
            <w:r>
              <w:t>mins</w:t>
            </w:r>
            <w:proofErr w:type="spellEnd"/>
          </w:p>
        </w:tc>
      </w:tr>
    </w:tbl>
    <w:p w:rsidR="00F13221" w:rsidRDefault="00F13221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338"/>
      </w:tblGrid>
      <w:tr w:rsidR="00D12390" w:rsidT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Total Households</w:t>
            </w:r>
          </w:p>
        </w:tc>
        <w:tc>
          <w:tcPr>
            <w:tcW w:w="4338" w:type="dxa"/>
          </w:tcPr>
          <w:p w:rsidR="00D12390" w:rsidRDefault="00F218F3" w:rsidP="00924362">
            <w:r>
              <w:t>47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F218F3" w:rsidP="00924362">
            <w:r>
              <w:t>91.5%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F218F3" w:rsidP="00924362">
            <w:r>
              <w:t>8.5%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F218F3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F218F3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F218F3" w:rsidP="00924362">
            <w:r>
              <w:t>25%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F218F3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F218F3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F218F3" w:rsidP="00924362">
            <w:r>
              <w:t>75.0%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F218F3" w:rsidP="00924362">
            <w:r>
              <w:t>2.4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F218F3" w:rsidP="00924362">
            <w:r>
              <w:t>0</w:t>
            </w:r>
          </w:p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158"/>
      </w:tblGrid>
      <w:tr w:rsidR="009A5989" w:rsidTr="002360AF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2360AF" w:rsidTr="002A2344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D76F04" w:rsidP="00924362">
            <w:r>
              <w:t>15.8</w:t>
            </w:r>
            <w:r w:rsidR="00065F5D">
              <w:t>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D76F04" w:rsidP="00924362">
            <w:r>
              <w:t>3.5</w:t>
            </w:r>
            <w:r w:rsidR="00065F5D">
              <w:t>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D76F04" w:rsidP="00924362">
            <w:r>
              <w:t>36.8</w:t>
            </w:r>
            <w:r w:rsidR="00065F5D">
              <w:t>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D76F04" w:rsidP="00924362">
            <w:r>
              <w:t>24.5</w:t>
            </w:r>
            <w:r w:rsidR="00065F5D">
              <w:t>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D76F04" w:rsidP="00924362">
            <w:r>
              <w:t>3.5</w:t>
            </w:r>
            <w:r w:rsidR="00065F5D">
              <w:t>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D76F04" w:rsidP="00924362">
            <w:r>
              <w:t>15.8</w:t>
            </w:r>
            <w:r w:rsidR="00065F5D">
              <w:t>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D76F04" w:rsidP="00924362">
            <w:r>
              <w:t>0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D76F04" w:rsidP="00924362">
            <w:r>
              <w:t>80.7</w:t>
            </w:r>
            <w:r w:rsidR="00065F5D">
              <w:t>%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D76F04" w:rsidP="00924362">
            <w:r>
              <w:t>15.8</w:t>
            </w:r>
            <w:r w:rsidR="00065F5D">
              <w:t>%</w:t>
            </w:r>
          </w:p>
        </w:tc>
      </w:tr>
    </w:tbl>
    <w:p w:rsidR="0048772C" w:rsidRDefault="0048772C" w:rsidP="00924362"/>
    <w:p w:rsidR="00404D34" w:rsidRDefault="00404D34" w:rsidP="00924362"/>
    <w:p w:rsidR="002F50E4" w:rsidRDefault="002F50E4" w:rsidP="00924362"/>
    <w:p w:rsidR="002F50E4" w:rsidRDefault="002F50E4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8772C" w:rsidT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8"/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065F5D" w:rsidP="0048772C">
            <w:r>
              <w:t>247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065F5D" w:rsidP="0048772C">
            <w:r>
              <w:t>198,400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065F5D" w:rsidP="0048772C">
            <w:r>
              <w:t>803</w:t>
            </w:r>
          </w:p>
        </w:tc>
      </w:tr>
    </w:tbl>
    <w:p w:rsidR="0048772C" w:rsidRDefault="0048772C" w:rsidP="00924362"/>
    <w:p w:rsidR="00E77C7B" w:rsidRDefault="00E77C7B" w:rsidP="00924362"/>
    <w:p w:rsidR="00E77C7B" w:rsidRDefault="00E77C7B" w:rsidP="00924362"/>
    <w:p w:rsidR="00E77C7B" w:rsidRDefault="00E77C7B" w:rsidP="00924362"/>
    <w:p w:rsidR="00E77C7B" w:rsidRDefault="00E77C7B" w:rsidP="00924362"/>
    <w:p w:rsidR="002F50E4" w:rsidRDefault="002F50E4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 w:rsidTr="002F50E4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9"/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DC00AF" w:rsidP="00412B10">
            <w:r>
              <w:t>451</w:t>
            </w:r>
          </w:p>
        </w:tc>
        <w:tc>
          <w:tcPr>
            <w:tcW w:w="756" w:type="dxa"/>
          </w:tcPr>
          <w:p w:rsidR="002F50E4" w:rsidRDefault="00DC00AF" w:rsidP="00412B10">
            <w:r>
              <w:t>0</w:t>
            </w:r>
          </w:p>
        </w:tc>
        <w:tc>
          <w:tcPr>
            <w:tcW w:w="787" w:type="dxa"/>
          </w:tcPr>
          <w:p w:rsidR="002F50E4" w:rsidRDefault="00DC00AF" w:rsidP="00412B10">
            <w:r>
              <w:t>0</w:t>
            </w:r>
          </w:p>
        </w:tc>
        <w:tc>
          <w:tcPr>
            <w:tcW w:w="787" w:type="dxa"/>
          </w:tcPr>
          <w:p w:rsidR="002F50E4" w:rsidRDefault="00DC00AF" w:rsidP="00412B10">
            <w:r>
              <w:t>0</w:t>
            </w:r>
          </w:p>
        </w:tc>
        <w:tc>
          <w:tcPr>
            <w:tcW w:w="787" w:type="dxa"/>
          </w:tcPr>
          <w:p w:rsidR="002F50E4" w:rsidRDefault="00DC00AF" w:rsidP="00412B10">
            <w:r>
              <w:t>0</w:t>
            </w:r>
          </w:p>
        </w:tc>
        <w:tc>
          <w:tcPr>
            <w:tcW w:w="876" w:type="dxa"/>
          </w:tcPr>
          <w:p w:rsidR="002F50E4" w:rsidRDefault="00DC00AF" w:rsidP="00412B10">
            <w:r>
              <w:t>0</w:t>
            </w:r>
          </w:p>
        </w:tc>
        <w:tc>
          <w:tcPr>
            <w:tcW w:w="680" w:type="dxa"/>
          </w:tcPr>
          <w:p w:rsidR="002F50E4" w:rsidRDefault="00DC00AF" w:rsidP="00412B10">
            <w:r>
              <w:t>0</w:t>
            </w:r>
          </w:p>
        </w:tc>
        <w:tc>
          <w:tcPr>
            <w:tcW w:w="788" w:type="dxa"/>
          </w:tcPr>
          <w:p w:rsidR="002F50E4" w:rsidRDefault="00DC00AF" w:rsidP="00412B10">
            <w:r>
              <w:t>0</w:t>
            </w:r>
          </w:p>
        </w:tc>
        <w:tc>
          <w:tcPr>
            <w:tcW w:w="680" w:type="dxa"/>
          </w:tcPr>
          <w:p w:rsidR="002F50E4" w:rsidRDefault="00DC00AF" w:rsidP="00412B10">
            <w:r>
              <w:t>0</w:t>
            </w:r>
          </w:p>
        </w:tc>
        <w:tc>
          <w:tcPr>
            <w:tcW w:w="723" w:type="dxa"/>
          </w:tcPr>
          <w:p w:rsidR="002F50E4" w:rsidRDefault="00DC00AF" w:rsidP="00412B10">
            <w:r>
              <w:t>0</w:t>
            </w:r>
          </w:p>
        </w:tc>
        <w:tc>
          <w:tcPr>
            <w:tcW w:w="996" w:type="dxa"/>
          </w:tcPr>
          <w:p w:rsidR="002F50E4" w:rsidRDefault="00DC00AF" w:rsidP="00412B10">
            <w:r>
              <w:t>451</w:t>
            </w:r>
          </w:p>
        </w:tc>
      </w:tr>
      <w:tr w:rsidR="002F50E4" w:rsidTr="00BC3ADE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 w:rsidTr="00412B10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412B10">
        <w:tc>
          <w:tcPr>
            <w:tcW w:w="996" w:type="dxa"/>
          </w:tcPr>
          <w:p w:rsidR="002F50E4" w:rsidRDefault="00DC00AF" w:rsidP="00C25F35">
            <w:r>
              <w:t>407</w:t>
            </w:r>
          </w:p>
        </w:tc>
        <w:tc>
          <w:tcPr>
            <w:tcW w:w="756" w:type="dxa"/>
          </w:tcPr>
          <w:p w:rsidR="002F50E4" w:rsidRDefault="00DC00AF" w:rsidP="00C25F35">
            <w:r>
              <w:t>0</w:t>
            </w:r>
          </w:p>
        </w:tc>
        <w:tc>
          <w:tcPr>
            <w:tcW w:w="787" w:type="dxa"/>
          </w:tcPr>
          <w:p w:rsidR="002F50E4" w:rsidRDefault="00DC00AF" w:rsidP="00412B10">
            <w:r>
              <w:t>0</w:t>
            </w:r>
          </w:p>
        </w:tc>
        <w:tc>
          <w:tcPr>
            <w:tcW w:w="787" w:type="dxa"/>
          </w:tcPr>
          <w:p w:rsidR="002F50E4" w:rsidRDefault="00DC00AF" w:rsidP="00412B10">
            <w:r>
              <w:t>0</w:t>
            </w:r>
          </w:p>
        </w:tc>
        <w:tc>
          <w:tcPr>
            <w:tcW w:w="787" w:type="dxa"/>
          </w:tcPr>
          <w:p w:rsidR="002F50E4" w:rsidRDefault="00DC00AF" w:rsidP="00412B10">
            <w:r>
              <w:t>0</w:t>
            </w:r>
          </w:p>
        </w:tc>
        <w:tc>
          <w:tcPr>
            <w:tcW w:w="876" w:type="dxa"/>
          </w:tcPr>
          <w:p w:rsidR="002F50E4" w:rsidRDefault="00DC00AF" w:rsidP="00412B10">
            <w:r>
              <w:t>0</w:t>
            </w:r>
          </w:p>
        </w:tc>
        <w:tc>
          <w:tcPr>
            <w:tcW w:w="680" w:type="dxa"/>
          </w:tcPr>
          <w:p w:rsidR="002F50E4" w:rsidRDefault="00DC00AF" w:rsidP="00412B10">
            <w:r>
              <w:t>0</w:t>
            </w:r>
          </w:p>
        </w:tc>
        <w:tc>
          <w:tcPr>
            <w:tcW w:w="788" w:type="dxa"/>
          </w:tcPr>
          <w:p w:rsidR="002F50E4" w:rsidRDefault="00DC00AF" w:rsidP="00412B10">
            <w:r>
              <w:t>0</w:t>
            </w:r>
          </w:p>
        </w:tc>
        <w:tc>
          <w:tcPr>
            <w:tcW w:w="680" w:type="dxa"/>
          </w:tcPr>
          <w:p w:rsidR="002F50E4" w:rsidRDefault="00DC00AF" w:rsidP="00412B10">
            <w:r>
              <w:t>0</w:t>
            </w:r>
          </w:p>
        </w:tc>
        <w:tc>
          <w:tcPr>
            <w:tcW w:w="723" w:type="dxa"/>
          </w:tcPr>
          <w:p w:rsidR="002F50E4" w:rsidRDefault="00DC00AF" w:rsidP="00412B10">
            <w:r>
              <w:t>0</w:t>
            </w:r>
          </w:p>
        </w:tc>
        <w:tc>
          <w:tcPr>
            <w:tcW w:w="996" w:type="dxa"/>
          </w:tcPr>
          <w:p w:rsidR="002F50E4" w:rsidRDefault="00DC00AF" w:rsidP="00412B10">
            <w:r>
              <w:t>451</w:t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DC00AF" w:rsidP="00924362">
            <w:r>
              <w:t>0</w:t>
            </w:r>
          </w:p>
        </w:tc>
        <w:tc>
          <w:tcPr>
            <w:tcW w:w="756" w:type="dxa"/>
          </w:tcPr>
          <w:p w:rsidR="002F50E4" w:rsidRDefault="00DC00AF" w:rsidP="00924362">
            <w:r>
              <w:t>0</w:t>
            </w:r>
          </w:p>
        </w:tc>
        <w:tc>
          <w:tcPr>
            <w:tcW w:w="787" w:type="dxa"/>
          </w:tcPr>
          <w:p w:rsidR="002F50E4" w:rsidRDefault="00DC00AF" w:rsidP="00924362">
            <w:r>
              <w:t>0</w:t>
            </w:r>
          </w:p>
        </w:tc>
        <w:tc>
          <w:tcPr>
            <w:tcW w:w="787" w:type="dxa"/>
          </w:tcPr>
          <w:p w:rsidR="002F50E4" w:rsidRDefault="00DC00AF" w:rsidP="00924362">
            <w:r>
              <w:t>0</w:t>
            </w:r>
          </w:p>
        </w:tc>
        <w:tc>
          <w:tcPr>
            <w:tcW w:w="787" w:type="dxa"/>
          </w:tcPr>
          <w:p w:rsidR="002F50E4" w:rsidRDefault="00DC00AF" w:rsidP="00924362">
            <w:r>
              <w:t>0</w:t>
            </w:r>
          </w:p>
        </w:tc>
        <w:tc>
          <w:tcPr>
            <w:tcW w:w="876" w:type="dxa"/>
          </w:tcPr>
          <w:p w:rsidR="002F50E4" w:rsidRDefault="00DC00AF" w:rsidP="00924362">
            <w:r>
              <w:t>20</w:t>
            </w:r>
          </w:p>
        </w:tc>
        <w:tc>
          <w:tcPr>
            <w:tcW w:w="680" w:type="dxa"/>
          </w:tcPr>
          <w:p w:rsidR="002F50E4" w:rsidRDefault="00DC00AF" w:rsidP="00924362">
            <w:r>
              <w:t>192</w:t>
            </w:r>
          </w:p>
        </w:tc>
        <w:tc>
          <w:tcPr>
            <w:tcW w:w="788" w:type="dxa"/>
          </w:tcPr>
          <w:p w:rsidR="002F50E4" w:rsidRDefault="00DC00AF" w:rsidP="00C25F35">
            <w:r>
              <w:t>13</w:t>
            </w:r>
          </w:p>
        </w:tc>
        <w:tc>
          <w:tcPr>
            <w:tcW w:w="680" w:type="dxa"/>
          </w:tcPr>
          <w:p w:rsidR="002F50E4" w:rsidRDefault="00DC00AF" w:rsidP="00924362">
            <w:r>
              <w:t>23</w:t>
            </w:r>
          </w:p>
        </w:tc>
        <w:tc>
          <w:tcPr>
            <w:tcW w:w="723" w:type="dxa"/>
          </w:tcPr>
          <w:p w:rsidR="002F50E4" w:rsidRDefault="00DC00AF" w:rsidP="00924362">
            <w:r>
              <w:t>202</w:t>
            </w:r>
          </w:p>
        </w:tc>
        <w:tc>
          <w:tcPr>
            <w:tcW w:w="996" w:type="dxa"/>
          </w:tcPr>
          <w:p w:rsidR="002F50E4" w:rsidRDefault="00DC00AF" w:rsidP="00C25F35">
            <w:r>
              <w:t>451</w:t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DC00AF" w:rsidP="00412B10">
            <w:r>
              <w:t>0</w:t>
            </w:r>
          </w:p>
        </w:tc>
        <w:tc>
          <w:tcPr>
            <w:tcW w:w="756" w:type="dxa"/>
          </w:tcPr>
          <w:p w:rsidR="002F50E4" w:rsidRDefault="00DC00AF" w:rsidP="00C25F35">
            <w:r>
              <w:t>0</w:t>
            </w:r>
          </w:p>
        </w:tc>
        <w:tc>
          <w:tcPr>
            <w:tcW w:w="787" w:type="dxa"/>
          </w:tcPr>
          <w:p w:rsidR="002F50E4" w:rsidRDefault="00DC00AF" w:rsidP="00412B10">
            <w:r>
              <w:t>0</w:t>
            </w:r>
          </w:p>
        </w:tc>
        <w:tc>
          <w:tcPr>
            <w:tcW w:w="787" w:type="dxa"/>
          </w:tcPr>
          <w:p w:rsidR="002F50E4" w:rsidRDefault="00DC00AF" w:rsidP="00412B10">
            <w:r>
              <w:t>0</w:t>
            </w:r>
          </w:p>
        </w:tc>
        <w:tc>
          <w:tcPr>
            <w:tcW w:w="787" w:type="dxa"/>
          </w:tcPr>
          <w:p w:rsidR="002F50E4" w:rsidRDefault="00DC00AF" w:rsidP="00412B10">
            <w:r>
              <w:t>0</w:t>
            </w:r>
          </w:p>
        </w:tc>
        <w:tc>
          <w:tcPr>
            <w:tcW w:w="876" w:type="dxa"/>
          </w:tcPr>
          <w:p w:rsidR="002F50E4" w:rsidRDefault="00DC00AF" w:rsidP="00412B10">
            <w:r>
              <w:t>0</w:t>
            </w:r>
          </w:p>
        </w:tc>
        <w:tc>
          <w:tcPr>
            <w:tcW w:w="680" w:type="dxa"/>
          </w:tcPr>
          <w:p w:rsidR="002F50E4" w:rsidRDefault="00DC00AF" w:rsidP="00412B10">
            <w:r>
              <w:t>0</w:t>
            </w:r>
          </w:p>
        </w:tc>
        <w:tc>
          <w:tcPr>
            <w:tcW w:w="788" w:type="dxa"/>
          </w:tcPr>
          <w:p w:rsidR="002F50E4" w:rsidRDefault="00DC00AF" w:rsidP="00C25F35">
            <w:r>
              <w:t>0</w:t>
            </w:r>
          </w:p>
        </w:tc>
        <w:tc>
          <w:tcPr>
            <w:tcW w:w="680" w:type="dxa"/>
          </w:tcPr>
          <w:p w:rsidR="002F50E4" w:rsidRDefault="00DC00AF" w:rsidP="00412B10">
            <w:r>
              <w:t>0</w:t>
            </w:r>
          </w:p>
        </w:tc>
        <w:tc>
          <w:tcPr>
            <w:tcW w:w="723" w:type="dxa"/>
          </w:tcPr>
          <w:p w:rsidR="002F50E4" w:rsidRDefault="00DC00AF" w:rsidP="00412B10">
            <w:r>
              <w:t>0</w:t>
            </w:r>
          </w:p>
        </w:tc>
        <w:tc>
          <w:tcPr>
            <w:tcW w:w="996" w:type="dxa"/>
          </w:tcPr>
          <w:p w:rsidR="002F50E4" w:rsidRDefault="00DC00AF" w:rsidP="00412B10">
            <w:r>
              <w:t>451</w:t>
            </w:r>
          </w:p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</w:p>
    <w:p w:rsidR="005E613F" w:rsidRDefault="005E613F" w:rsidP="00924362"/>
    <w:p w:rsidR="00960DE8" w:rsidRDefault="00960DE8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692784" w:rsidT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0"/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065F5D" w:rsidP="00924362">
            <w:r>
              <w:t>139,875</w:t>
            </w:r>
          </w:p>
        </w:tc>
        <w:tc>
          <w:tcPr>
            <w:tcW w:w="2952" w:type="dxa"/>
          </w:tcPr>
          <w:p w:rsidR="00692784" w:rsidRDefault="00065F5D" w:rsidP="00924362">
            <w:r>
              <w:t>1,434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065F5D" w:rsidP="00924362">
            <w:r>
              <w:t>84,000</w:t>
            </w:r>
          </w:p>
        </w:tc>
        <w:tc>
          <w:tcPr>
            <w:tcW w:w="2952" w:type="dxa"/>
          </w:tcPr>
          <w:p w:rsidR="00692784" w:rsidRDefault="00065F5D" w:rsidP="00924362">
            <w:r>
              <w:t>1,011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065F5D" w:rsidP="00924362">
            <w:r>
              <w:t>0</w:t>
            </w:r>
          </w:p>
        </w:tc>
        <w:tc>
          <w:tcPr>
            <w:tcW w:w="2952" w:type="dxa"/>
          </w:tcPr>
          <w:p w:rsidR="00692784" w:rsidRDefault="00065F5D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065F5D" w:rsidP="00924362">
            <w:r>
              <w:t>0</w:t>
            </w:r>
          </w:p>
        </w:tc>
        <w:tc>
          <w:tcPr>
            <w:tcW w:w="2952" w:type="dxa"/>
          </w:tcPr>
          <w:p w:rsidR="00692784" w:rsidRDefault="00065F5D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065F5D" w:rsidP="00924362">
            <w:r>
              <w:t>1,697,905</w:t>
            </w:r>
          </w:p>
        </w:tc>
        <w:tc>
          <w:tcPr>
            <w:tcW w:w="2952" w:type="dxa"/>
          </w:tcPr>
          <w:p w:rsidR="00692784" w:rsidRDefault="00065F5D" w:rsidP="00924362">
            <w:r>
              <w:t>17,252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065F5D" w:rsidP="00924362">
            <w:r>
              <w:t>53,652</w:t>
            </w:r>
          </w:p>
        </w:tc>
        <w:tc>
          <w:tcPr>
            <w:tcW w:w="2952" w:type="dxa"/>
          </w:tcPr>
          <w:p w:rsidR="00692784" w:rsidRDefault="00065F5D" w:rsidP="00924362">
            <w:r>
              <w:t>678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065F5D" w:rsidP="00924362">
            <w:r>
              <w:t>0</w:t>
            </w:r>
          </w:p>
        </w:tc>
        <w:tc>
          <w:tcPr>
            <w:tcW w:w="2952" w:type="dxa"/>
          </w:tcPr>
          <w:p w:rsidR="00692784" w:rsidRDefault="00065F5D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065F5D" w:rsidP="00924362">
            <w:r>
              <w:t>0</w:t>
            </w:r>
          </w:p>
        </w:tc>
        <w:tc>
          <w:tcPr>
            <w:tcW w:w="2952" w:type="dxa"/>
          </w:tcPr>
          <w:p w:rsidR="00692784" w:rsidRDefault="00065F5D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065F5D" w:rsidP="00924362">
            <w:r>
              <w:t>382,540</w:t>
            </w:r>
          </w:p>
        </w:tc>
        <w:tc>
          <w:tcPr>
            <w:tcW w:w="2952" w:type="dxa"/>
          </w:tcPr>
          <w:p w:rsidR="00692784" w:rsidRDefault="00065F5D" w:rsidP="00924362">
            <w:r>
              <w:t>9,310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065F5D" w:rsidP="00924362">
            <w:r>
              <w:t>285,412</w:t>
            </w:r>
          </w:p>
        </w:tc>
        <w:tc>
          <w:tcPr>
            <w:tcW w:w="2952" w:type="dxa"/>
          </w:tcPr>
          <w:p w:rsidR="00692784" w:rsidRDefault="00065F5D" w:rsidP="00924362">
            <w:r>
              <w:t>8,228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065F5D" w:rsidP="00924362">
            <w:r>
              <w:t>38,120</w:t>
            </w:r>
          </w:p>
        </w:tc>
        <w:tc>
          <w:tcPr>
            <w:tcW w:w="2952" w:type="dxa"/>
          </w:tcPr>
          <w:p w:rsidR="00692784" w:rsidRDefault="00065F5D" w:rsidP="00924362">
            <w:r>
              <w:t>1,157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065F5D" w:rsidP="00924362">
            <w:r>
              <w:t>32,794</w:t>
            </w:r>
          </w:p>
        </w:tc>
        <w:tc>
          <w:tcPr>
            <w:tcW w:w="2952" w:type="dxa"/>
          </w:tcPr>
          <w:p w:rsidR="00692784" w:rsidRDefault="00065F5D" w:rsidP="00924362">
            <w:r>
              <w:t>1,118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065F5D" w:rsidP="00924362">
            <w:r>
              <w:t>0</w:t>
            </w:r>
          </w:p>
        </w:tc>
        <w:tc>
          <w:tcPr>
            <w:tcW w:w="2952" w:type="dxa"/>
          </w:tcPr>
          <w:p w:rsidR="00692784" w:rsidRDefault="00065F5D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065F5D" w:rsidP="00924362">
            <w:r>
              <w:t>367,700</w:t>
            </w:r>
          </w:p>
        </w:tc>
        <w:tc>
          <w:tcPr>
            <w:tcW w:w="2952" w:type="dxa"/>
          </w:tcPr>
          <w:p w:rsidR="00692784" w:rsidRDefault="00065F5D" w:rsidP="00924362">
            <w:r>
              <w:t>10,901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065F5D" w:rsidP="00924362">
            <w:r>
              <w:t>3,082,000</w:t>
            </w:r>
          </w:p>
        </w:tc>
        <w:tc>
          <w:tcPr>
            <w:tcW w:w="2952" w:type="dxa"/>
          </w:tcPr>
          <w:p w:rsidR="00692784" w:rsidRDefault="00065F5D" w:rsidP="00924362">
            <w:r>
              <w:t>51,089</w:t>
            </w:r>
          </w:p>
        </w:tc>
      </w:tr>
    </w:tbl>
    <w:p w:rsidR="00692784" w:rsidRDefault="00692784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48772C" w:rsidRDefault="0048772C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>
      <w:bookmarkStart w:id="0" w:name="_GoBack"/>
      <w:bookmarkEnd w:id="0"/>
    </w:p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4C4" w:rsidRDefault="00ED44C4" w:rsidP="00404D34">
      <w:r>
        <w:separator/>
      </w:r>
    </w:p>
  </w:endnote>
  <w:endnote w:type="continuationSeparator" w:id="0">
    <w:p w:rsidR="00ED44C4" w:rsidRDefault="00ED44C4" w:rsidP="0040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Orth,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4C4" w:rsidRDefault="00ED44C4" w:rsidP="00404D34">
      <w:r>
        <w:separator/>
      </w:r>
    </w:p>
  </w:footnote>
  <w:footnote w:type="continuationSeparator" w:id="0">
    <w:p w:rsidR="00ED44C4" w:rsidRDefault="00ED44C4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 w:rsidP="0050196A">
      <w:pPr>
        <w:pStyle w:val="FootnoteText"/>
      </w:pPr>
      <w:r>
        <w:rPr>
          <w:rStyle w:val="FootnoteReference"/>
        </w:rPr>
        <w:footnoteRef/>
      </w:r>
      <w:r>
        <w:t xml:space="preserve"> Minnesota</w:t>
      </w:r>
      <w:r w:rsidRPr="00404D34">
        <w:t xml:space="preserve"> Department of Employment and Economic Development</w:t>
      </w:r>
      <w:r>
        <w:t xml:space="preserve">, Local Employment Dynamics, All NAICS Sectors 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6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8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9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  <w:r w:rsidR="00065F5D">
        <w:t>0</w:t>
      </w:r>
    </w:p>
  </w:footnote>
  <w:footnote w:id="10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  <w:r w:rsidR="00065F5D">
        <w:t>367,700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79"/>
    <w:rsid w:val="00065F5D"/>
    <w:rsid w:val="000F303C"/>
    <w:rsid w:val="001F3211"/>
    <w:rsid w:val="0022225D"/>
    <w:rsid w:val="002360AF"/>
    <w:rsid w:val="00267B88"/>
    <w:rsid w:val="002A2344"/>
    <w:rsid w:val="002F50E4"/>
    <w:rsid w:val="00336E54"/>
    <w:rsid w:val="00371190"/>
    <w:rsid w:val="00404D34"/>
    <w:rsid w:val="00410BD6"/>
    <w:rsid w:val="00484CB8"/>
    <w:rsid w:val="0048772C"/>
    <w:rsid w:val="0050196A"/>
    <w:rsid w:val="00514E6F"/>
    <w:rsid w:val="00527AA4"/>
    <w:rsid w:val="00551880"/>
    <w:rsid w:val="005E613F"/>
    <w:rsid w:val="00692784"/>
    <w:rsid w:val="007274F2"/>
    <w:rsid w:val="007450F9"/>
    <w:rsid w:val="007B40E4"/>
    <w:rsid w:val="00814E79"/>
    <w:rsid w:val="008A5B79"/>
    <w:rsid w:val="00924362"/>
    <w:rsid w:val="009353E4"/>
    <w:rsid w:val="00943E57"/>
    <w:rsid w:val="00955711"/>
    <w:rsid w:val="00960DE8"/>
    <w:rsid w:val="009A5989"/>
    <w:rsid w:val="00A507FB"/>
    <w:rsid w:val="00B2621C"/>
    <w:rsid w:val="00C25F35"/>
    <w:rsid w:val="00CA1754"/>
    <w:rsid w:val="00D12390"/>
    <w:rsid w:val="00D14CCA"/>
    <w:rsid w:val="00D76F04"/>
    <w:rsid w:val="00DC00AF"/>
    <w:rsid w:val="00E13BAA"/>
    <w:rsid w:val="00E54FB1"/>
    <w:rsid w:val="00E77C7B"/>
    <w:rsid w:val="00E9313E"/>
    <w:rsid w:val="00ED3920"/>
    <w:rsid w:val="00ED44C4"/>
    <w:rsid w:val="00EE45A3"/>
    <w:rsid w:val="00F13221"/>
    <w:rsid w:val="00F218F3"/>
    <w:rsid w:val="00F74DC1"/>
    <w:rsid w:val="00FC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420</Words>
  <Characters>2397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dcterms:created xsi:type="dcterms:W3CDTF">2012-06-06T20:50:00Z</dcterms:created>
  <dcterms:modified xsi:type="dcterms:W3CDTF">2012-06-06T20:50:00Z</dcterms:modified>
</cp:coreProperties>
</file>