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F" w:rsidRDefault="00DE0DF5">
      <w:r>
        <w:rPr>
          <w:rFonts w:ascii="Helvetica Neue" w:hAnsi="Helvetica Neue" w:cs="Helvetica Neue"/>
          <w:b/>
          <w:bCs/>
          <w:sz w:val="30"/>
          <w:szCs w:val="30"/>
        </w:rPr>
        <w:t>Prevalence of obesity among adults in developed countries (% obese)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8240"/>
        <w:gridCol w:w="2600"/>
      </w:tblGrid>
      <w:tr w:rsidR="00DE0DF5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b/>
                <w:bCs/>
                <w:sz w:val="30"/>
                <w:szCs w:val="30"/>
              </w:rPr>
              <w:t>Rank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b/>
                <w:bCs/>
                <w:sz w:val="30"/>
                <w:szCs w:val="30"/>
              </w:rPr>
              <w:t>Country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b/>
                <w:bCs/>
                <w:sz w:val="30"/>
                <w:szCs w:val="30"/>
              </w:rPr>
              <w:t>Rate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Mexico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32.8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United States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31.8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Syria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31.6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4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Venezuela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30.8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4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Libya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30.8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6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Trinidad &amp; Tobago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30.0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7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Vanuatu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29.8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8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Iraq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29.4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8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Argentina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29.4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10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Turkey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29.3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11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Chile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29.1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12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Czech Republic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28.7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13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Lebanon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28.2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14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New Zealand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27.0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14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Slovenia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27.0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16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El Salvador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26.9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17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Malta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26.6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18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Panama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18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Antigua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25.8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20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Israel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25.5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21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Australia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25.1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21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Saint Vincent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25.1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22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Dominica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25.0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23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United Kingdom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24.9</w:t>
            </w:r>
          </w:p>
        </w:tc>
      </w:tr>
      <w:tr w:rsidR="00DE0D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23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Russia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6F7F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24.9</w:t>
            </w:r>
          </w:p>
        </w:tc>
      </w:tr>
      <w:tr w:rsidR="00DE0DF5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CAD1DB"/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25</w:t>
            </w:r>
          </w:p>
        </w:tc>
        <w:tc>
          <w:tcPr>
            <w:tcW w:w="824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Hungary</w:t>
            </w:r>
          </w:p>
        </w:tc>
        <w:tc>
          <w:tcPr>
            <w:tcW w:w="2600" w:type="dxa"/>
            <w:tcBorders>
              <w:right w:val="single" w:sz="8" w:space="0" w:color="CAD1DB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E0DF5" w:rsidRDefault="00DE0DF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>
              <w:rPr>
                <w:rFonts w:ascii="Helvetica Neue" w:hAnsi="Helvetica Neue" w:cs="Helvetica Neue"/>
                <w:sz w:val="30"/>
                <w:szCs w:val="30"/>
              </w:rPr>
              <w:t>24.8</w:t>
            </w:r>
          </w:p>
        </w:tc>
      </w:tr>
    </w:tbl>
    <w:p w:rsidR="00DE0DF5" w:rsidRDefault="00DE0DF5"/>
    <w:p w:rsidR="00DE0DF5" w:rsidRDefault="00DE0DF5">
      <w:pPr>
        <w:rPr>
          <w:rFonts w:ascii="Helvetica Neue" w:hAnsi="Helvetica Neue" w:cs="Helvetica Neue"/>
          <w:b/>
          <w:bCs/>
          <w:sz w:val="30"/>
          <w:szCs w:val="30"/>
        </w:rPr>
      </w:pPr>
      <w:r>
        <w:rPr>
          <w:rFonts w:ascii="Helvetica Neue" w:hAnsi="Helvetica Neue" w:cs="Helvetica Neue"/>
          <w:b/>
          <w:bCs/>
          <w:sz w:val="30"/>
          <w:szCs w:val="30"/>
        </w:rPr>
        <w:t>Prevalence of obesity among adults in developed countries (% obese)</w:t>
      </w:r>
    </w:p>
    <w:p w:rsidR="00DE0DF5" w:rsidRDefault="00DE0DF5">
      <w:pPr>
        <w:rPr>
          <w:rFonts w:ascii="Helvetica Neue" w:hAnsi="Helvetica Neue" w:cs="Helvetica Neue"/>
          <w:b/>
          <w:bCs/>
          <w:sz w:val="30"/>
          <w:szCs w:val="30"/>
        </w:rPr>
      </w:pPr>
    </w:p>
    <w:p w:rsidR="00DE0DF5" w:rsidRDefault="00DE0DF5">
      <w:pPr>
        <w:rPr>
          <w:rFonts w:ascii="Helvetica Neue" w:hAnsi="Helvetica Neue" w:cs="Helvetica Neue"/>
          <w:b/>
          <w:bCs/>
          <w:sz w:val="30"/>
          <w:szCs w:val="30"/>
        </w:rPr>
      </w:pPr>
    </w:p>
    <w:p w:rsidR="00DE0DF5" w:rsidRDefault="00DE0DF5">
      <w:r>
        <w:rPr>
          <w:rFonts w:ascii="Helvetica Neue" w:hAnsi="Helvetica Neue" w:cs="Helvetica Neue"/>
          <w:sz w:val="30"/>
          <w:szCs w:val="30"/>
        </w:rPr>
        <w:t xml:space="preserve">Nearly a third of Mexican adults (32.8 percent) are considered obese—people aged 20 and older whose body mass index </w:t>
      </w:r>
      <w:r>
        <w:rPr>
          <w:rFonts w:ascii="Helvetica Neue" w:hAnsi="Helvetica Neue" w:cs="Helvetica Neue"/>
          <w:sz w:val="30"/>
          <w:szCs w:val="30"/>
        </w:rPr>
        <w:lastRenderedPageBreak/>
        <w:t>(BMI) is 30 and above. That edges the United States, where 31.8 percent of American adults are considered obese.</w:t>
      </w:r>
      <w:bookmarkStart w:id="0" w:name="_GoBack"/>
      <w:bookmarkEnd w:id="0"/>
    </w:p>
    <w:sectPr w:rsidR="00DE0DF5" w:rsidSect="00320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F5"/>
    <w:rsid w:val="00320BA1"/>
    <w:rsid w:val="00B50D8F"/>
    <w:rsid w:val="00D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98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Sungur</dc:creator>
  <cp:keywords/>
  <dc:description/>
  <cp:lastModifiedBy>Engin Sungur</cp:lastModifiedBy>
  <cp:revision>1</cp:revision>
  <dcterms:created xsi:type="dcterms:W3CDTF">2013-07-09T17:36:00Z</dcterms:created>
  <dcterms:modified xsi:type="dcterms:W3CDTF">2013-07-09T17:38:00Z</dcterms:modified>
</cp:coreProperties>
</file>