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373D9" w14:textId="77777777" w:rsidR="00D4428E" w:rsidRPr="00ED0E0F" w:rsidRDefault="00D4428E" w:rsidP="00D4428E"/>
    <w:p w14:paraId="5A004DD5" w14:textId="77777777" w:rsidR="00D4428E" w:rsidRPr="00ED0E0F" w:rsidRDefault="00D4428E" w:rsidP="00D4428E"/>
    <w:p w14:paraId="58B6C3E9" w14:textId="77777777" w:rsidR="00D4428E" w:rsidRPr="00ED0E0F" w:rsidRDefault="00D4428E" w:rsidP="00D4428E"/>
    <w:p w14:paraId="7686B22F" w14:textId="77777777" w:rsidR="00D4428E" w:rsidRPr="00ED0E0F" w:rsidRDefault="00D4428E" w:rsidP="00D4428E"/>
    <w:p w14:paraId="286EAE89" w14:textId="77777777" w:rsidR="00D4428E" w:rsidRPr="00ED0E0F" w:rsidRDefault="00D4428E" w:rsidP="00D4428E"/>
    <w:p w14:paraId="392A822E" w14:textId="77777777" w:rsidR="00D4428E" w:rsidRPr="00ED0E0F" w:rsidRDefault="00D4428E" w:rsidP="00D4428E"/>
    <w:p w14:paraId="2ED0F255" w14:textId="77777777" w:rsidR="00D4428E" w:rsidRPr="00ED0E0F" w:rsidRDefault="00D4428E" w:rsidP="00D4428E"/>
    <w:p w14:paraId="20ED75A1" w14:textId="77777777" w:rsidR="00D4428E" w:rsidRPr="00ED0E0F" w:rsidRDefault="00D4428E" w:rsidP="00D4428E"/>
    <w:p w14:paraId="50C677A8" w14:textId="77777777" w:rsidR="00D4428E" w:rsidRPr="00ED0E0F" w:rsidRDefault="00D4428E" w:rsidP="00D4428E"/>
    <w:p w14:paraId="68E93D86" w14:textId="77777777" w:rsidR="00D4428E" w:rsidRPr="00ED0E0F" w:rsidRDefault="00D4428E" w:rsidP="00D4428E"/>
    <w:p w14:paraId="56EA212F" w14:textId="77777777" w:rsidR="00D4428E" w:rsidRPr="00ED0E0F" w:rsidRDefault="00D4428E" w:rsidP="00D4428E"/>
    <w:p w14:paraId="6F07EA4D" w14:textId="77777777" w:rsidR="00D4428E" w:rsidRPr="00ED0E0F" w:rsidRDefault="00D4428E" w:rsidP="00D4428E"/>
    <w:p w14:paraId="1DB49133" w14:textId="77777777" w:rsidR="00D4428E" w:rsidRPr="00ED0E0F" w:rsidRDefault="00D4428E" w:rsidP="00D4428E"/>
    <w:p w14:paraId="33330381" w14:textId="77777777" w:rsidR="00D4428E" w:rsidRPr="00ED0E0F" w:rsidRDefault="00D4428E" w:rsidP="00D4428E"/>
    <w:p w14:paraId="471A4B9F" w14:textId="77777777" w:rsidR="00D4428E" w:rsidRPr="00ED0E0F" w:rsidRDefault="00D4428E" w:rsidP="00D4428E"/>
    <w:p w14:paraId="56D3F1D8" w14:textId="77777777" w:rsidR="00D4428E" w:rsidRPr="00ED0E0F" w:rsidRDefault="00D4428E" w:rsidP="00D4428E">
      <w:pPr>
        <w:jc w:val="center"/>
        <w:rPr>
          <w:b/>
          <w:sz w:val="32"/>
          <w:szCs w:val="32"/>
        </w:rPr>
      </w:pPr>
      <w:r w:rsidRPr="00ED0E0F">
        <w:rPr>
          <w:b/>
          <w:sz w:val="32"/>
          <w:szCs w:val="32"/>
        </w:rPr>
        <w:t xml:space="preserve">City of Morris </w:t>
      </w:r>
    </w:p>
    <w:p w14:paraId="1BF1D891" w14:textId="77777777" w:rsidR="00D4428E" w:rsidRPr="00ED0E0F" w:rsidRDefault="00D4428E" w:rsidP="00D4428E">
      <w:pPr>
        <w:jc w:val="center"/>
        <w:rPr>
          <w:sz w:val="28"/>
          <w:szCs w:val="28"/>
        </w:rPr>
      </w:pPr>
      <w:r w:rsidRPr="00ED0E0F">
        <w:rPr>
          <w:sz w:val="28"/>
          <w:szCs w:val="28"/>
        </w:rPr>
        <w:t xml:space="preserve">General Report on Demographic, </w:t>
      </w:r>
    </w:p>
    <w:p w14:paraId="280DF823" w14:textId="77777777" w:rsidR="00D4428E" w:rsidRPr="00ED0E0F" w:rsidRDefault="00D4428E" w:rsidP="00D4428E">
      <w:pPr>
        <w:jc w:val="center"/>
        <w:rPr>
          <w:sz w:val="28"/>
          <w:szCs w:val="28"/>
        </w:rPr>
      </w:pPr>
      <w:r w:rsidRPr="00ED0E0F">
        <w:rPr>
          <w:sz w:val="28"/>
          <w:szCs w:val="28"/>
        </w:rPr>
        <w:t>Social and Economic Characteristics</w:t>
      </w:r>
    </w:p>
    <w:p w14:paraId="3AF518CD" w14:textId="77777777" w:rsidR="00D4428E" w:rsidRPr="00ED0E0F" w:rsidRDefault="00D4428E" w:rsidP="00D4428E">
      <w:pPr>
        <w:jc w:val="center"/>
        <w:rPr>
          <w:sz w:val="28"/>
          <w:szCs w:val="28"/>
        </w:rPr>
      </w:pPr>
    </w:p>
    <w:p w14:paraId="67C55241" w14:textId="77777777" w:rsidR="00D4428E" w:rsidRPr="00ED0E0F" w:rsidRDefault="00D4428E" w:rsidP="00D4428E">
      <w:pPr>
        <w:jc w:val="center"/>
        <w:rPr>
          <w:sz w:val="28"/>
          <w:szCs w:val="28"/>
        </w:rPr>
      </w:pPr>
    </w:p>
    <w:p w14:paraId="17F16307" w14:textId="77777777" w:rsidR="00D4428E" w:rsidRPr="00ED0E0F" w:rsidRDefault="00D4428E" w:rsidP="00D4428E">
      <w:pPr>
        <w:jc w:val="center"/>
        <w:rPr>
          <w:sz w:val="28"/>
          <w:szCs w:val="28"/>
        </w:rPr>
      </w:pPr>
      <w:r w:rsidRPr="00ED0E0F">
        <w:rPr>
          <w:sz w:val="28"/>
          <w:szCs w:val="28"/>
        </w:rPr>
        <w:t xml:space="preserve">UMM Center for Small Towns </w:t>
      </w:r>
    </w:p>
    <w:p w14:paraId="2270CE19" w14:textId="77777777" w:rsidR="00D4428E" w:rsidRPr="00ED0E0F" w:rsidRDefault="00D4428E" w:rsidP="00D4428E">
      <w:pPr>
        <w:jc w:val="center"/>
        <w:rPr>
          <w:sz w:val="28"/>
          <w:szCs w:val="28"/>
        </w:rPr>
      </w:pPr>
      <w:r w:rsidRPr="00ED0E0F">
        <w:rPr>
          <w:sz w:val="28"/>
          <w:szCs w:val="28"/>
        </w:rPr>
        <w:t>Data Services Center</w:t>
      </w:r>
    </w:p>
    <w:p w14:paraId="5C9F64A8" w14:textId="77777777" w:rsidR="00D4428E" w:rsidRPr="00ED0E0F" w:rsidRDefault="00D4428E" w:rsidP="00D4428E">
      <w:pPr>
        <w:jc w:val="center"/>
        <w:rPr>
          <w:sz w:val="28"/>
          <w:szCs w:val="28"/>
        </w:rPr>
      </w:pPr>
      <w:proofErr w:type="spellStart"/>
      <w:r w:rsidRPr="00ED0E0F">
        <w:rPr>
          <w:sz w:val="28"/>
          <w:szCs w:val="28"/>
        </w:rPr>
        <w:t>Gwendorlene</w:t>
      </w:r>
      <w:proofErr w:type="spellEnd"/>
      <w:r w:rsidRPr="00ED0E0F">
        <w:rPr>
          <w:sz w:val="28"/>
          <w:szCs w:val="28"/>
        </w:rPr>
        <w:t xml:space="preserve"> </w:t>
      </w:r>
      <w:proofErr w:type="spellStart"/>
      <w:r w:rsidRPr="00ED0E0F">
        <w:rPr>
          <w:sz w:val="28"/>
          <w:szCs w:val="28"/>
        </w:rPr>
        <w:t>Chea</w:t>
      </w:r>
      <w:proofErr w:type="spellEnd"/>
      <w:r w:rsidRPr="00ED0E0F">
        <w:rPr>
          <w:sz w:val="28"/>
          <w:szCs w:val="28"/>
        </w:rPr>
        <w:t xml:space="preserve"> </w:t>
      </w:r>
    </w:p>
    <w:p w14:paraId="69E5571F" w14:textId="77777777" w:rsidR="00D4428E" w:rsidRPr="00ED0E0F" w:rsidRDefault="00D4428E" w:rsidP="00D4428E">
      <w:pPr>
        <w:jc w:val="center"/>
        <w:rPr>
          <w:sz w:val="28"/>
          <w:szCs w:val="28"/>
        </w:rPr>
      </w:pPr>
    </w:p>
    <w:p w14:paraId="1E4C3527" w14:textId="77777777" w:rsidR="00D4428E" w:rsidRPr="00ED0E0F" w:rsidRDefault="00D4428E" w:rsidP="00D4428E">
      <w:pPr>
        <w:jc w:val="center"/>
      </w:pPr>
    </w:p>
    <w:p w14:paraId="6C9FDA6E" w14:textId="77777777" w:rsidR="00D4428E" w:rsidRPr="00ED0E0F" w:rsidRDefault="00D4428E" w:rsidP="00D4428E">
      <w:pPr>
        <w:jc w:val="center"/>
      </w:pPr>
    </w:p>
    <w:p w14:paraId="4B8B8FD1" w14:textId="77777777" w:rsidR="00D4428E" w:rsidRPr="00ED0E0F" w:rsidRDefault="00D4428E" w:rsidP="00D4428E">
      <w:pPr>
        <w:jc w:val="center"/>
      </w:pPr>
    </w:p>
    <w:p w14:paraId="44192775" w14:textId="77777777" w:rsidR="00D4428E" w:rsidRPr="00ED0E0F" w:rsidRDefault="00D4428E" w:rsidP="00D4428E">
      <w:pPr>
        <w:jc w:val="center"/>
      </w:pPr>
    </w:p>
    <w:p w14:paraId="140B87E0" w14:textId="77777777" w:rsidR="00D4428E" w:rsidRPr="00ED0E0F" w:rsidRDefault="00D4428E" w:rsidP="00D4428E">
      <w:pPr>
        <w:jc w:val="center"/>
      </w:pPr>
    </w:p>
    <w:p w14:paraId="19686416" w14:textId="77777777" w:rsidR="00D4428E" w:rsidRPr="00ED0E0F" w:rsidRDefault="00D4428E" w:rsidP="00D4428E">
      <w:pPr>
        <w:jc w:val="center"/>
      </w:pPr>
    </w:p>
    <w:p w14:paraId="54D44CF3" w14:textId="77777777" w:rsidR="00D4428E" w:rsidRPr="00ED0E0F" w:rsidRDefault="00D4428E" w:rsidP="00D4428E">
      <w:pPr>
        <w:jc w:val="center"/>
      </w:pPr>
    </w:p>
    <w:p w14:paraId="6F98DF84" w14:textId="77777777" w:rsidR="00D4428E" w:rsidRPr="00ED0E0F" w:rsidRDefault="00D4428E" w:rsidP="00D4428E">
      <w:pPr>
        <w:jc w:val="center"/>
      </w:pPr>
    </w:p>
    <w:p w14:paraId="56C3B19B" w14:textId="77777777" w:rsidR="00D4428E" w:rsidRPr="00ED0E0F" w:rsidRDefault="00D4428E" w:rsidP="00D4428E">
      <w:pPr>
        <w:jc w:val="center"/>
      </w:pPr>
    </w:p>
    <w:p w14:paraId="2C815B74" w14:textId="77777777" w:rsidR="00D4428E" w:rsidRPr="00ED0E0F" w:rsidRDefault="00D4428E" w:rsidP="00D4428E">
      <w:pPr>
        <w:jc w:val="center"/>
      </w:pPr>
    </w:p>
    <w:p w14:paraId="799E4A4D" w14:textId="77777777" w:rsidR="00D4428E" w:rsidRPr="00ED0E0F" w:rsidRDefault="00D4428E" w:rsidP="00D4428E">
      <w:pPr>
        <w:jc w:val="center"/>
      </w:pPr>
    </w:p>
    <w:p w14:paraId="48957205" w14:textId="77777777" w:rsidR="00D4428E" w:rsidRPr="00ED0E0F" w:rsidRDefault="00D4428E" w:rsidP="00D4428E">
      <w:pPr>
        <w:jc w:val="center"/>
      </w:pPr>
    </w:p>
    <w:p w14:paraId="28440202" w14:textId="77777777" w:rsidR="00D4428E" w:rsidRPr="00ED0E0F" w:rsidRDefault="00D4428E" w:rsidP="00D4428E">
      <w:pPr>
        <w:jc w:val="center"/>
      </w:pPr>
    </w:p>
    <w:p w14:paraId="540DD88C" w14:textId="77777777" w:rsidR="00D4428E" w:rsidRPr="00ED0E0F" w:rsidRDefault="00D4428E" w:rsidP="00D4428E">
      <w:pPr>
        <w:jc w:val="center"/>
      </w:pPr>
    </w:p>
    <w:p w14:paraId="32395A30" w14:textId="77777777" w:rsidR="00D4428E" w:rsidRPr="00ED0E0F" w:rsidRDefault="00D4428E" w:rsidP="00D4428E">
      <w:pPr>
        <w:jc w:val="center"/>
      </w:pPr>
    </w:p>
    <w:p w14:paraId="5D45A96B" w14:textId="77777777" w:rsidR="00D4428E" w:rsidRPr="00ED0E0F" w:rsidRDefault="00D4428E" w:rsidP="00D4428E">
      <w:pPr>
        <w:jc w:val="center"/>
      </w:pPr>
    </w:p>
    <w:p w14:paraId="548160BC" w14:textId="77777777" w:rsidR="00D4428E" w:rsidRPr="00ED0E0F" w:rsidRDefault="00D4428E" w:rsidP="00D4428E">
      <w:pPr>
        <w:jc w:val="center"/>
      </w:pPr>
    </w:p>
    <w:p w14:paraId="0268F799" w14:textId="77777777" w:rsidR="00D4428E" w:rsidRPr="00ED0E0F" w:rsidRDefault="00D4428E" w:rsidP="00D4428E">
      <w:pPr>
        <w:jc w:val="center"/>
      </w:pPr>
    </w:p>
    <w:p w14:paraId="0FEF6042" w14:textId="77777777" w:rsidR="00D4428E" w:rsidRPr="00ED0E0F" w:rsidRDefault="00D4428E" w:rsidP="00D4428E">
      <w:pPr>
        <w:jc w:val="center"/>
      </w:pPr>
    </w:p>
    <w:p w14:paraId="6D4C75E1" w14:textId="77777777" w:rsidR="00D4428E" w:rsidRPr="00ED0E0F" w:rsidRDefault="00D4428E" w:rsidP="00D4428E">
      <w:r w:rsidRPr="00ED0E0F">
        <w:br w:type="page"/>
      </w:r>
    </w:p>
    <w:p w14:paraId="29532888" w14:textId="77777777" w:rsidR="00D4428E" w:rsidRPr="00ED0E0F" w:rsidRDefault="00D4428E" w:rsidP="00D4428E">
      <w:pPr>
        <w:rPr>
          <w:b/>
          <w:sz w:val="28"/>
          <w:szCs w:val="28"/>
        </w:rPr>
      </w:pPr>
      <w:r w:rsidRPr="00ED0E0F">
        <w:rPr>
          <w:b/>
          <w:sz w:val="28"/>
          <w:szCs w:val="28"/>
        </w:rPr>
        <w:lastRenderedPageBreak/>
        <w:t>Contents</w:t>
      </w:r>
    </w:p>
    <w:p w14:paraId="7646C38B" w14:textId="77777777" w:rsidR="00D4428E" w:rsidRPr="00ED0E0F" w:rsidRDefault="00D4428E" w:rsidP="00D4428E">
      <w:pPr>
        <w:rPr>
          <w:b/>
          <w:sz w:val="28"/>
          <w:szCs w:val="28"/>
        </w:rPr>
      </w:pPr>
    </w:p>
    <w:p w14:paraId="13C8990B" w14:textId="77777777" w:rsidR="00D4428E" w:rsidRPr="00ED0E0F" w:rsidRDefault="00D4428E" w:rsidP="00D4428E">
      <w:pPr>
        <w:rPr>
          <w:sz w:val="28"/>
          <w:szCs w:val="28"/>
        </w:rPr>
      </w:pPr>
      <w:r w:rsidRPr="00ED0E0F">
        <w:rPr>
          <w:sz w:val="28"/>
          <w:szCs w:val="28"/>
        </w:rPr>
        <w:t xml:space="preserve">Topic                                                                               Pages                    </w:t>
      </w:r>
    </w:p>
    <w:p w14:paraId="11A4040E" w14:textId="77777777" w:rsidR="00D4428E" w:rsidRPr="00ED0E0F" w:rsidRDefault="00D4428E" w:rsidP="00D4428E">
      <w:pPr>
        <w:rPr>
          <w:sz w:val="28"/>
          <w:szCs w:val="28"/>
        </w:rPr>
      </w:pPr>
      <w:r w:rsidRPr="00ED0E0F">
        <w:rPr>
          <w:sz w:val="28"/>
          <w:szCs w:val="28"/>
        </w:rPr>
        <w:t>Introduction                                                                    3</w:t>
      </w:r>
    </w:p>
    <w:p w14:paraId="5C3C4462" w14:textId="77777777" w:rsidR="00D4428E" w:rsidRPr="00ED0E0F" w:rsidRDefault="00D4428E" w:rsidP="00D4428E">
      <w:pPr>
        <w:rPr>
          <w:sz w:val="28"/>
          <w:szCs w:val="28"/>
        </w:rPr>
      </w:pPr>
      <w:r w:rsidRPr="00ED0E0F">
        <w:rPr>
          <w:sz w:val="28"/>
          <w:szCs w:val="28"/>
        </w:rPr>
        <w:t>Population                                                                      4-7</w:t>
      </w:r>
    </w:p>
    <w:p w14:paraId="0F183F64" w14:textId="77777777" w:rsidR="00D4428E" w:rsidRPr="00ED0E0F" w:rsidRDefault="00D4428E" w:rsidP="00D4428E">
      <w:pPr>
        <w:rPr>
          <w:sz w:val="28"/>
          <w:szCs w:val="28"/>
        </w:rPr>
      </w:pPr>
      <w:r w:rsidRPr="00ED0E0F">
        <w:rPr>
          <w:sz w:val="28"/>
          <w:szCs w:val="28"/>
        </w:rPr>
        <w:t>Income                                                                           8-11</w:t>
      </w:r>
    </w:p>
    <w:p w14:paraId="3044A65D" w14:textId="77777777" w:rsidR="00D4428E" w:rsidRPr="00ED0E0F" w:rsidRDefault="00D4428E" w:rsidP="00D4428E">
      <w:pPr>
        <w:rPr>
          <w:sz w:val="28"/>
          <w:szCs w:val="28"/>
        </w:rPr>
      </w:pPr>
      <w:r w:rsidRPr="00ED0E0F">
        <w:rPr>
          <w:sz w:val="28"/>
          <w:szCs w:val="28"/>
        </w:rPr>
        <w:t>Employment                                                                  12-13</w:t>
      </w:r>
    </w:p>
    <w:p w14:paraId="54AEF8C1" w14:textId="77777777" w:rsidR="00D4428E" w:rsidRPr="00ED0E0F" w:rsidRDefault="00D4428E" w:rsidP="00D4428E">
      <w:pPr>
        <w:rPr>
          <w:sz w:val="28"/>
          <w:szCs w:val="28"/>
        </w:rPr>
      </w:pPr>
      <w:r w:rsidRPr="00ED0E0F">
        <w:rPr>
          <w:sz w:val="28"/>
          <w:szCs w:val="28"/>
        </w:rPr>
        <w:t>Housing                                                                         14-16</w:t>
      </w:r>
    </w:p>
    <w:p w14:paraId="5789DC14" w14:textId="77777777" w:rsidR="00D4428E" w:rsidRPr="00ED0E0F" w:rsidRDefault="00D4428E" w:rsidP="00D4428E">
      <w:pPr>
        <w:rPr>
          <w:sz w:val="28"/>
          <w:szCs w:val="28"/>
        </w:rPr>
      </w:pPr>
      <w:r w:rsidRPr="00ED0E0F">
        <w:rPr>
          <w:sz w:val="28"/>
          <w:szCs w:val="28"/>
        </w:rPr>
        <w:t>Education                                                                      17</w:t>
      </w:r>
    </w:p>
    <w:p w14:paraId="5ECCCE8B" w14:textId="77777777" w:rsidR="00D4428E" w:rsidRDefault="00D4428E" w:rsidP="00D4428E">
      <w:pPr>
        <w:rPr>
          <w:sz w:val="28"/>
          <w:szCs w:val="28"/>
        </w:rPr>
      </w:pPr>
      <w:r w:rsidRPr="00ED0E0F">
        <w:rPr>
          <w:sz w:val="28"/>
          <w:szCs w:val="28"/>
        </w:rPr>
        <w:t xml:space="preserve">Appendix </w:t>
      </w:r>
      <w:proofErr w:type="gramStart"/>
      <w:r w:rsidRPr="00ED0E0F">
        <w:rPr>
          <w:sz w:val="28"/>
          <w:szCs w:val="28"/>
        </w:rPr>
        <w:t>A</w:t>
      </w:r>
      <w:proofErr w:type="gramEnd"/>
      <w:r w:rsidRPr="00ED0E0F">
        <w:rPr>
          <w:sz w:val="28"/>
          <w:szCs w:val="28"/>
        </w:rPr>
        <w:t xml:space="preserve">                                                                  18-21</w:t>
      </w:r>
    </w:p>
    <w:p w14:paraId="23FD4DB6" w14:textId="219DFD42" w:rsidR="00ED0E0F" w:rsidRPr="00ED0E0F" w:rsidRDefault="00ED0E0F" w:rsidP="00D4428E">
      <w:pPr>
        <w:rPr>
          <w:sz w:val="28"/>
          <w:szCs w:val="28"/>
        </w:rPr>
      </w:pPr>
      <w:r>
        <w:rPr>
          <w:sz w:val="28"/>
          <w:szCs w:val="28"/>
        </w:rPr>
        <w:t>Appendix B</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22-30</w:t>
      </w:r>
    </w:p>
    <w:p w14:paraId="721C9E2F" w14:textId="77777777" w:rsidR="00D4428E" w:rsidRPr="00ED0E0F" w:rsidRDefault="00D4428E" w:rsidP="00D4428E">
      <w:pPr>
        <w:jc w:val="center"/>
      </w:pPr>
    </w:p>
    <w:p w14:paraId="4EED5C4C" w14:textId="77777777" w:rsidR="00D4428E" w:rsidRPr="00ED0E0F" w:rsidRDefault="00D4428E" w:rsidP="00D4428E">
      <w:pPr>
        <w:jc w:val="center"/>
      </w:pPr>
    </w:p>
    <w:p w14:paraId="02FAA6C1" w14:textId="77777777" w:rsidR="00D4428E" w:rsidRPr="00ED0E0F" w:rsidRDefault="00D4428E" w:rsidP="00D4428E">
      <w:pPr>
        <w:jc w:val="center"/>
      </w:pPr>
    </w:p>
    <w:p w14:paraId="64DBF71A" w14:textId="77777777" w:rsidR="00D4428E" w:rsidRPr="00ED0E0F" w:rsidRDefault="00D4428E" w:rsidP="00D4428E"/>
    <w:p w14:paraId="65A39B1A" w14:textId="77777777" w:rsidR="00D4428E" w:rsidRPr="00ED0E0F" w:rsidRDefault="00D4428E" w:rsidP="00D4428E">
      <w:r w:rsidRPr="00ED0E0F">
        <w:br w:type="page"/>
      </w:r>
    </w:p>
    <w:p w14:paraId="5082328D" w14:textId="77777777" w:rsidR="00D4428E" w:rsidRPr="00ED0E0F" w:rsidRDefault="00D4428E" w:rsidP="00D4428E">
      <w:pPr>
        <w:rPr>
          <w:b/>
          <w:sz w:val="28"/>
          <w:szCs w:val="28"/>
        </w:rPr>
      </w:pPr>
      <w:r w:rsidRPr="00ED0E0F">
        <w:rPr>
          <w:b/>
          <w:sz w:val="28"/>
          <w:szCs w:val="28"/>
        </w:rPr>
        <w:t>Introduction</w:t>
      </w:r>
    </w:p>
    <w:p w14:paraId="2DDA1999" w14:textId="77777777" w:rsidR="00D4428E" w:rsidRPr="00ED0E0F" w:rsidRDefault="00D4428E" w:rsidP="00D4428E"/>
    <w:p w14:paraId="2314DC46" w14:textId="77777777" w:rsidR="00D4428E" w:rsidRPr="00ED0E0F" w:rsidRDefault="00D4428E" w:rsidP="00D4428E">
      <w:pPr>
        <w:rPr>
          <w:b/>
        </w:rPr>
      </w:pPr>
      <w:r w:rsidRPr="00ED0E0F">
        <w:rPr>
          <w:b/>
        </w:rPr>
        <w:t>Background:</w:t>
      </w:r>
    </w:p>
    <w:p w14:paraId="72532D2A" w14:textId="77777777" w:rsidR="00D4428E" w:rsidRPr="00ED0E0F" w:rsidRDefault="00D4428E" w:rsidP="00D4428E">
      <w:r w:rsidRPr="00ED0E0F">
        <w:t xml:space="preserve">  </w:t>
      </w:r>
    </w:p>
    <w:p w14:paraId="7BF885E3" w14:textId="77777777" w:rsidR="00D4428E" w:rsidRPr="00ED0E0F" w:rsidRDefault="00D4428E" w:rsidP="00D4428E">
      <w:pPr>
        <w:ind w:firstLine="720"/>
      </w:pPr>
      <w:r w:rsidRPr="00ED0E0F">
        <w:t>The purpose of this report is to present graphical displays of data for Morris City and the surrounding cities in Stevens County. This report focuses on the years 2000 and 2010 and the data used was taken from the Census Bureau and Bureau of Economic Analysis.</w:t>
      </w:r>
    </w:p>
    <w:p w14:paraId="08354962" w14:textId="77777777" w:rsidR="00D4428E" w:rsidRPr="00ED0E0F" w:rsidRDefault="00D4428E" w:rsidP="00D4428E"/>
    <w:p w14:paraId="7F4CE813" w14:textId="77777777" w:rsidR="00D4428E" w:rsidRPr="00ED0E0F" w:rsidRDefault="00D4428E" w:rsidP="00D4428E"/>
    <w:p w14:paraId="447018F0" w14:textId="77777777" w:rsidR="00D4428E" w:rsidRPr="00ED0E0F" w:rsidRDefault="00D4428E" w:rsidP="00D4428E"/>
    <w:p w14:paraId="1B7988BB" w14:textId="77777777" w:rsidR="00D4428E" w:rsidRPr="00ED0E0F" w:rsidRDefault="00D4428E" w:rsidP="00D4428E"/>
    <w:p w14:paraId="207F23BC" w14:textId="77777777" w:rsidR="00D4428E" w:rsidRPr="00ED0E0F" w:rsidRDefault="00D4428E" w:rsidP="00D4428E"/>
    <w:p w14:paraId="488AA6CF" w14:textId="77777777" w:rsidR="00D4428E" w:rsidRPr="00ED0E0F" w:rsidRDefault="00D4428E" w:rsidP="00D4428E"/>
    <w:p w14:paraId="0A2E1FEE" w14:textId="77777777" w:rsidR="00D4428E" w:rsidRPr="00ED0E0F" w:rsidRDefault="00D4428E" w:rsidP="00D4428E"/>
    <w:p w14:paraId="268BA0F0" w14:textId="77777777" w:rsidR="00D4428E" w:rsidRPr="00ED0E0F" w:rsidRDefault="00D4428E" w:rsidP="00D4428E"/>
    <w:p w14:paraId="55A9E8DC" w14:textId="77777777" w:rsidR="00D4428E" w:rsidRPr="00ED0E0F" w:rsidRDefault="00D4428E" w:rsidP="00D4428E"/>
    <w:p w14:paraId="7257194F" w14:textId="77777777" w:rsidR="00D4428E" w:rsidRPr="00ED0E0F" w:rsidRDefault="00D4428E" w:rsidP="00D4428E"/>
    <w:p w14:paraId="1272E04A" w14:textId="77777777" w:rsidR="00D4428E" w:rsidRPr="00ED0E0F" w:rsidRDefault="00D4428E" w:rsidP="00D4428E"/>
    <w:p w14:paraId="5C1342A2" w14:textId="77777777" w:rsidR="00D4428E" w:rsidRPr="00ED0E0F" w:rsidRDefault="00D4428E" w:rsidP="00D4428E"/>
    <w:p w14:paraId="69F03331" w14:textId="77777777" w:rsidR="00D4428E" w:rsidRPr="00ED0E0F" w:rsidRDefault="00D4428E" w:rsidP="00D4428E"/>
    <w:p w14:paraId="3EE8BFAF" w14:textId="77777777" w:rsidR="00D4428E" w:rsidRPr="00ED0E0F" w:rsidRDefault="00D4428E" w:rsidP="00D4428E"/>
    <w:p w14:paraId="020E7119" w14:textId="77777777" w:rsidR="00D4428E" w:rsidRPr="00ED0E0F" w:rsidRDefault="00D4428E" w:rsidP="00D4428E"/>
    <w:p w14:paraId="7F157B5C" w14:textId="77777777" w:rsidR="00D4428E" w:rsidRPr="00ED0E0F" w:rsidRDefault="00D4428E" w:rsidP="00D4428E"/>
    <w:p w14:paraId="762A69DD" w14:textId="77777777" w:rsidR="00D4428E" w:rsidRPr="00ED0E0F" w:rsidRDefault="00D4428E" w:rsidP="00D4428E"/>
    <w:p w14:paraId="542C345A" w14:textId="77777777" w:rsidR="00D4428E" w:rsidRPr="00ED0E0F" w:rsidRDefault="00D4428E" w:rsidP="00D4428E"/>
    <w:p w14:paraId="3EE13E48" w14:textId="77777777" w:rsidR="00D4428E" w:rsidRPr="00ED0E0F" w:rsidRDefault="00D4428E" w:rsidP="00D4428E"/>
    <w:p w14:paraId="621F24F9" w14:textId="77777777" w:rsidR="00D4428E" w:rsidRPr="00ED0E0F" w:rsidRDefault="00D4428E" w:rsidP="00D4428E"/>
    <w:p w14:paraId="5FDA55F9" w14:textId="77777777" w:rsidR="00D4428E" w:rsidRPr="00ED0E0F" w:rsidRDefault="00D4428E" w:rsidP="00D4428E"/>
    <w:p w14:paraId="5621126A" w14:textId="77777777" w:rsidR="00D4428E" w:rsidRPr="00ED0E0F" w:rsidRDefault="00D4428E" w:rsidP="00D4428E"/>
    <w:p w14:paraId="4DCC47FF" w14:textId="77777777" w:rsidR="00D4428E" w:rsidRPr="00ED0E0F" w:rsidRDefault="00D4428E" w:rsidP="00D4428E"/>
    <w:p w14:paraId="30F2D329" w14:textId="77777777" w:rsidR="00D4428E" w:rsidRPr="00ED0E0F" w:rsidRDefault="00D4428E" w:rsidP="00D4428E"/>
    <w:p w14:paraId="6E9B9758" w14:textId="77777777" w:rsidR="00D4428E" w:rsidRPr="00ED0E0F" w:rsidRDefault="00D4428E" w:rsidP="00D4428E"/>
    <w:p w14:paraId="620A07CC" w14:textId="77777777" w:rsidR="00D4428E" w:rsidRPr="00ED0E0F" w:rsidRDefault="00D4428E" w:rsidP="00D4428E"/>
    <w:p w14:paraId="35DA0EA0" w14:textId="77777777" w:rsidR="00D4428E" w:rsidRPr="00ED0E0F" w:rsidRDefault="00D4428E" w:rsidP="00D4428E">
      <w:pPr>
        <w:rPr>
          <w:b/>
          <w:sz w:val="28"/>
          <w:szCs w:val="28"/>
        </w:rPr>
      </w:pPr>
    </w:p>
    <w:p w14:paraId="096FF116" w14:textId="77777777" w:rsidR="00D4428E" w:rsidRPr="00ED0E0F" w:rsidRDefault="00D4428E" w:rsidP="00D4428E">
      <w:pPr>
        <w:rPr>
          <w:b/>
          <w:sz w:val="28"/>
          <w:szCs w:val="28"/>
        </w:rPr>
      </w:pPr>
    </w:p>
    <w:p w14:paraId="26808E1E" w14:textId="77777777" w:rsidR="00D4428E" w:rsidRPr="00ED0E0F" w:rsidRDefault="00D4428E" w:rsidP="00D4428E">
      <w:pPr>
        <w:rPr>
          <w:b/>
          <w:sz w:val="28"/>
          <w:szCs w:val="28"/>
        </w:rPr>
      </w:pPr>
    </w:p>
    <w:p w14:paraId="2CD8E66C" w14:textId="77777777" w:rsidR="00D4428E" w:rsidRPr="00ED0E0F" w:rsidRDefault="00D4428E" w:rsidP="00D4428E">
      <w:pPr>
        <w:rPr>
          <w:b/>
          <w:sz w:val="28"/>
          <w:szCs w:val="28"/>
        </w:rPr>
      </w:pPr>
    </w:p>
    <w:p w14:paraId="180C88B1" w14:textId="77777777" w:rsidR="00D4428E" w:rsidRPr="00ED0E0F" w:rsidRDefault="00D4428E" w:rsidP="00D4428E">
      <w:pPr>
        <w:rPr>
          <w:b/>
          <w:sz w:val="28"/>
          <w:szCs w:val="28"/>
        </w:rPr>
      </w:pPr>
    </w:p>
    <w:p w14:paraId="33E49E68" w14:textId="77777777" w:rsidR="00D4428E" w:rsidRPr="00ED0E0F" w:rsidRDefault="00D4428E" w:rsidP="00D4428E">
      <w:pPr>
        <w:rPr>
          <w:b/>
          <w:sz w:val="28"/>
          <w:szCs w:val="28"/>
        </w:rPr>
      </w:pPr>
    </w:p>
    <w:p w14:paraId="649DC6C8" w14:textId="77777777" w:rsidR="00D4428E" w:rsidRPr="00ED0E0F" w:rsidRDefault="00D4428E" w:rsidP="00D4428E">
      <w:pPr>
        <w:rPr>
          <w:b/>
          <w:sz w:val="28"/>
          <w:szCs w:val="28"/>
        </w:rPr>
      </w:pPr>
    </w:p>
    <w:p w14:paraId="13DFE00B" w14:textId="77777777" w:rsidR="00D4428E" w:rsidRPr="00ED0E0F" w:rsidRDefault="00D4428E" w:rsidP="00D4428E">
      <w:pPr>
        <w:rPr>
          <w:b/>
          <w:sz w:val="28"/>
          <w:szCs w:val="28"/>
        </w:rPr>
      </w:pPr>
    </w:p>
    <w:p w14:paraId="0EA2C35E" w14:textId="77777777" w:rsidR="00D4428E" w:rsidRPr="00ED0E0F" w:rsidRDefault="00D4428E" w:rsidP="00D4428E">
      <w:pPr>
        <w:rPr>
          <w:b/>
          <w:sz w:val="28"/>
          <w:szCs w:val="28"/>
        </w:rPr>
      </w:pPr>
    </w:p>
    <w:p w14:paraId="152D9790" w14:textId="77777777" w:rsidR="00D4428E" w:rsidRPr="00ED0E0F" w:rsidRDefault="00D4428E" w:rsidP="00D4428E">
      <w:pPr>
        <w:rPr>
          <w:b/>
          <w:sz w:val="28"/>
          <w:szCs w:val="28"/>
        </w:rPr>
      </w:pPr>
    </w:p>
    <w:p w14:paraId="111C1B73" w14:textId="77777777" w:rsidR="00D4428E" w:rsidRPr="00ED0E0F" w:rsidRDefault="00D4428E" w:rsidP="00D4428E">
      <w:pPr>
        <w:rPr>
          <w:b/>
          <w:sz w:val="28"/>
          <w:szCs w:val="28"/>
        </w:rPr>
      </w:pPr>
      <w:r w:rsidRPr="00ED0E0F">
        <w:rPr>
          <w:b/>
          <w:sz w:val="28"/>
          <w:szCs w:val="28"/>
        </w:rPr>
        <w:t>Population-Morris Area</w:t>
      </w:r>
    </w:p>
    <w:p w14:paraId="7E55BDBA" w14:textId="77777777" w:rsidR="00D4428E" w:rsidRPr="00ED0E0F" w:rsidRDefault="00D4428E" w:rsidP="00D4428E"/>
    <w:p w14:paraId="3A5C7631" w14:textId="77777777" w:rsidR="00D4428E" w:rsidRPr="00ED0E0F" w:rsidRDefault="00D4428E" w:rsidP="00D4428E"/>
    <w:p w14:paraId="082F05C1" w14:textId="77777777" w:rsidR="00D4428E" w:rsidRPr="00ED0E0F" w:rsidRDefault="00D4428E" w:rsidP="00D4428E">
      <w:r w:rsidRPr="00ED0E0F">
        <w:rPr>
          <w:noProof/>
        </w:rPr>
        <w:drawing>
          <wp:inline distT="0" distB="0" distL="0" distR="0" wp14:anchorId="7A10428F" wp14:editId="5CD66441">
            <wp:extent cx="5080635" cy="2936240"/>
            <wp:effectExtent l="0" t="0" r="24765" b="355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FC6953" w14:textId="77777777" w:rsidR="00D4428E" w:rsidRPr="00ED0E0F" w:rsidRDefault="00D4428E" w:rsidP="00D4428E"/>
    <w:p w14:paraId="04614F13" w14:textId="77777777" w:rsidR="00D4428E" w:rsidRPr="00ED0E0F" w:rsidRDefault="00D4428E" w:rsidP="00D4428E">
      <w:r w:rsidRPr="00ED0E0F">
        <w:t>This graph shows the population breakdown of Stevens County, Morris City, and the four other cities that make up Stevens County for 2000 and 2010. It appears that Morris makes up nearly 50% of the population in Stevens County for both 2000 and 2010. The abnormally large population in Morris compared to the other cities in the county might be due to the presence of the University of Minnesota, Morris.</w:t>
      </w:r>
    </w:p>
    <w:p w14:paraId="24234F0A" w14:textId="77777777" w:rsidR="00D4428E" w:rsidRPr="00ED0E0F" w:rsidRDefault="00D4428E" w:rsidP="00D4428E"/>
    <w:p w14:paraId="799C02E1" w14:textId="77777777" w:rsidR="00D4428E" w:rsidRPr="00ED0E0F" w:rsidRDefault="00D4428E" w:rsidP="00D4428E">
      <w:pPr>
        <w:rPr>
          <w:i/>
        </w:rPr>
      </w:pPr>
      <w:r w:rsidRPr="00ED0E0F">
        <w:rPr>
          <w:i/>
        </w:rPr>
        <w:t>Source: 2000 and 2010 U.S Census Bureau- Decennial Census and ACS 5-year Summary</w:t>
      </w:r>
    </w:p>
    <w:p w14:paraId="7127602E" w14:textId="77777777" w:rsidR="00D4428E" w:rsidRPr="00ED0E0F" w:rsidRDefault="00D4428E" w:rsidP="00D4428E"/>
    <w:p w14:paraId="0EA1BB07" w14:textId="77777777" w:rsidR="00D4428E" w:rsidRPr="00ED0E0F" w:rsidRDefault="00D4428E" w:rsidP="00D4428E"/>
    <w:p w14:paraId="6D90A7D3" w14:textId="77777777" w:rsidR="00D4428E" w:rsidRPr="00ED0E0F" w:rsidRDefault="00D4428E" w:rsidP="00D4428E">
      <w:pPr>
        <w:rPr>
          <w:b/>
          <w:sz w:val="28"/>
          <w:szCs w:val="28"/>
        </w:rPr>
      </w:pPr>
    </w:p>
    <w:p w14:paraId="618330E7" w14:textId="77777777" w:rsidR="00D4428E" w:rsidRPr="00ED0E0F" w:rsidRDefault="00D4428E" w:rsidP="00D4428E">
      <w:pPr>
        <w:rPr>
          <w:b/>
          <w:sz w:val="28"/>
          <w:szCs w:val="28"/>
        </w:rPr>
      </w:pPr>
    </w:p>
    <w:p w14:paraId="00F7F373" w14:textId="77777777" w:rsidR="00D4428E" w:rsidRPr="00ED0E0F" w:rsidRDefault="00D4428E" w:rsidP="00D4428E">
      <w:pPr>
        <w:rPr>
          <w:b/>
          <w:sz w:val="28"/>
          <w:szCs w:val="28"/>
        </w:rPr>
      </w:pPr>
    </w:p>
    <w:p w14:paraId="43433AF9" w14:textId="77777777" w:rsidR="00D4428E" w:rsidRPr="00ED0E0F" w:rsidRDefault="00D4428E" w:rsidP="00D4428E">
      <w:pPr>
        <w:rPr>
          <w:b/>
          <w:sz w:val="28"/>
          <w:szCs w:val="28"/>
        </w:rPr>
      </w:pPr>
    </w:p>
    <w:p w14:paraId="053A4525" w14:textId="77777777" w:rsidR="00D4428E" w:rsidRPr="00ED0E0F" w:rsidRDefault="00D4428E" w:rsidP="00D4428E">
      <w:pPr>
        <w:rPr>
          <w:b/>
          <w:sz w:val="28"/>
          <w:szCs w:val="28"/>
        </w:rPr>
      </w:pPr>
    </w:p>
    <w:p w14:paraId="277B3D7D" w14:textId="77777777" w:rsidR="00D4428E" w:rsidRPr="00ED0E0F" w:rsidRDefault="00D4428E" w:rsidP="00D4428E">
      <w:pPr>
        <w:rPr>
          <w:b/>
          <w:sz w:val="28"/>
          <w:szCs w:val="28"/>
        </w:rPr>
      </w:pPr>
    </w:p>
    <w:p w14:paraId="3DF29BDC" w14:textId="77777777" w:rsidR="00D4428E" w:rsidRPr="00ED0E0F" w:rsidRDefault="00D4428E" w:rsidP="00D4428E">
      <w:pPr>
        <w:rPr>
          <w:b/>
          <w:sz w:val="28"/>
          <w:szCs w:val="28"/>
        </w:rPr>
      </w:pPr>
    </w:p>
    <w:p w14:paraId="1F520A49" w14:textId="77777777" w:rsidR="00D4428E" w:rsidRPr="00ED0E0F" w:rsidRDefault="00D4428E" w:rsidP="00D4428E">
      <w:pPr>
        <w:rPr>
          <w:b/>
          <w:sz w:val="28"/>
          <w:szCs w:val="28"/>
        </w:rPr>
      </w:pPr>
    </w:p>
    <w:p w14:paraId="29615150" w14:textId="77777777" w:rsidR="00D4428E" w:rsidRPr="00ED0E0F" w:rsidRDefault="00D4428E" w:rsidP="00D4428E">
      <w:pPr>
        <w:rPr>
          <w:b/>
          <w:sz w:val="28"/>
          <w:szCs w:val="28"/>
        </w:rPr>
      </w:pPr>
    </w:p>
    <w:p w14:paraId="157925C9" w14:textId="77777777" w:rsidR="00D4428E" w:rsidRPr="00ED0E0F" w:rsidRDefault="00D4428E" w:rsidP="00D4428E">
      <w:pPr>
        <w:rPr>
          <w:b/>
          <w:sz w:val="28"/>
          <w:szCs w:val="28"/>
        </w:rPr>
      </w:pPr>
    </w:p>
    <w:p w14:paraId="63AB3A94" w14:textId="77777777" w:rsidR="00D4428E" w:rsidRPr="00ED0E0F" w:rsidRDefault="00D4428E" w:rsidP="00D4428E">
      <w:pPr>
        <w:rPr>
          <w:b/>
          <w:sz w:val="28"/>
          <w:szCs w:val="28"/>
        </w:rPr>
      </w:pPr>
    </w:p>
    <w:p w14:paraId="3AF32033" w14:textId="77777777" w:rsidR="00D4428E" w:rsidRPr="00ED0E0F" w:rsidRDefault="00D4428E" w:rsidP="00D4428E">
      <w:pPr>
        <w:rPr>
          <w:b/>
          <w:sz w:val="28"/>
          <w:szCs w:val="28"/>
        </w:rPr>
      </w:pPr>
    </w:p>
    <w:p w14:paraId="1C27159A" w14:textId="77777777" w:rsidR="00D4428E" w:rsidRPr="00ED0E0F" w:rsidRDefault="00D4428E" w:rsidP="00D4428E">
      <w:pPr>
        <w:rPr>
          <w:b/>
          <w:sz w:val="28"/>
          <w:szCs w:val="28"/>
        </w:rPr>
      </w:pPr>
    </w:p>
    <w:p w14:paraId="22747CF4" w14:textId="77777777" w:rsidR="00D4428E" w:rsidRPr="00ED0E0F" w:rsidRDefault="00D4428E" w:rsidP="00D4428E">
      <w:pPr>
        <w:rPr>
          <w:b/>
          <w:sz w:val="28"/>
          <w:szCs w:val="28"/>
        </w:rPr>
      </w:pPr>
    </w:p>
    <w:p w14:paraId="69EA6578" w14:textId="77777777" w:rsidR="00D4428E" w:rsidRPr="00ED0E0F" w:rsidRDefault="00D4428E" w:rsidP="00D4428E">
      <w:pPr>
        <w:rPr>
          <w:b/>
          <w:sz w:val="28"/>
          <w:szCs w:val="28"/>
        </w:rPr>
      </w:pPr>
      <w:r w:rsidRPr="00ED0E0F">
        <w:rPr>
          <w:b/>
          <w:sz w:val="28"/>
          <w:szCs w:val="28"/>
        </w:rPr>
        <w:t xml:space="preserve">Population-Morris City </w:t>
      </w:r>
    </w:p>
    <w:p w14:paraId="60439BB6" w14:textId="77777777" w:rsidR="00D4428E" w:rsidRPr="00ED0E0F" w:rsidRDefault="00D4428E" w:rsidP="00D4428E"/>
    <w:p w14:paraId="1CB97D45" w14:textId="77777777" w:rsidR="00D4428E" w:rsidRPr="00ED0E0F" w:rsidRDefault="00D4428E" w:rsidP="00D4428E">
      <w:r w:rsidRPr="00ED0E0F">
        <w:rPr>
          <w:noProof/>
        </w:rPr>
        <w:drawing>
          <wp:inline distT="0" distB="0" distL="0" distR="0" wp14:anchorId="27D0F8A4" wp14:editId="16DF7C0E">
            <wp:extent cx="4572000" cy="2743200"/>
            <wp:effectExtent l="0" t="0" r="25400"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0785FA" w14:textId="77777777" w:rsidR="00D4428E" w:rsidRPr="00ED0E0F" w:rsidRDefault="00D4428E" w:rsidP="00D4428E">
      <w:r w:rsidRPr="00ED0E0F">
        <w:t>There are drastic changes in the population of Morris City over the years, the most drastic being the 4.6% percent increase from 1980 to 1990, and the 9.7% decrease from 1990 to 2000.</w:t>
      </w:r>
    </w:p>
    <w:p w14:paraId="22AB8D5B" w14:textId="77777777" w:rsidR="00D4428E" w:rsidRPr="00ED0E0F" w:rsidRDefault="00D4428E" w:rsidP="00D4428E">
      <w:pPr>
        <w:rPr>
          <w:b/>
        </w:rPr>
      </w:pPr>
    </w:p>
    <w:p w14:paraId="2A5AA51E" w14:textId="77777777" w:rsidR="00D4428E" w:rsidRPr="00ED0E0F" w:rsidRDefault="00D4428E" w:rsidP="00D4428E">
      <w:pPr>
        <w:rPr>
          <w:i/>
        </w:rPr>
      </w:pPr>
      <w:r w:rsidRPr="00ED0E0F">
        <w:rPr>
          <w:i/>
        </w:rPr>
        <w:t>Source: 2000 and 2010 U.S Census Bureau- Decennial Census and ACS 5-year Summary, City of Morris Comprehensive Plan 1999</w:t>
      </w:r>
    </w:p>
    <w:p w14:paraId="727D2731" w14:textId="77777777" w:rsidR="00D4428E" w:rsidRPr="00ED0E0F" w:rsidRDefault="00D4428E" w:rsidP="00D4428E">
      <w:pPr>
        <w:rPr>
          <w:b/>
        </w:rPr>
      </w:pPr>
    </w:p>
    <w:p w14:paraId="465584F3" w14:textId="77777777" w:rsidR="00D4428E" w:rsidRPr="00ED0E0F" w:rsidRDefault="00D4428E" w:rsidP="00D4428E"/>
    <w:p w14:paraId="59DA4BBF" w14:textId="77777777" w:rsidR="00D4428E" w:rsidRPr="00ED0E0F" w:rsidRDefault="00D4428E" w:rsidP="00D4428E"/>
    <w:p w14:paraId="2698C6B0" w14:textId="77777777" w:rsidR="00D4428E" w:rsidRPr="00ED0E0F" w:rsidRDefault="00D4428E" w:rsidP="00D4428E"/>
    <w:p w14:paraId="4E0B21C8" w14:textId="77777777" w:rsidR="00D4428E" w:rsidRPr="00ED0E0F" w:rsidRDefault="00D4428E" w:rsidP="00D4428E"/>
    <w:p w14:paraId="1C1BD950" w14:textId="77777777" w:rsidR="00D4428E" w:rsidRPr="00ED0E0F" w:rsidRDefault="00D4428E" w:rsidP="00D4428E"/>
    <w:p w14:paraId="736C9BDD" w14:textId="77777777" w:rsidR="00D4428E" w:rsidRPr="00ED0E0F" w:rsidRDefault="00D4428E" w:rsidP="00D4428E"/>
    <w:p w14:paraId="28A46A44" w14:textId="77777777" w:rsidR="00D4428E" w:rsidRPr="00ED0E0F" w:rsidRDefault="00D4428E" w:rsidP="00D4428E"/>
    <w:p w14:paraId="468D8BA5" w14:textId="77777777" w:rsidR="00D4428E" w:rsidRPr="00ED0E0F" w:rsidRDefault="00D4428E" w:rsidP="00D4428E"/>
    <w:p w14:paraId="3F3303B8" w14:textId="77777777" w:rsidR="00D4428E" w:rsidRPr="00ED0E0F" w:rsidRDefault="00D4428E" w:rsidP="00D4428E"/>
    <w:p w14:paraId="23228E53" w14:textId="77777777" w:rsidR="00D4428E" w:rsidRPr="00ED0E0F" w:rsidRDefault="00D4428E" w:rsidP="00D4428E"/>
    <w:p w14:paraId="7FBACFE1" w14:textId="77777777" w:rsidR="00D4428E" w:rsidRPr="00ED0E0F" w:rsidRDefault="00D4428E" w:rsidP="00D4428E"/>
    <w:p w14:paraId="3CC5E0C0" w14:textId="77777777" w:rsidR="00D4428E" w:rsidRPr="00ED0E0F" w:rsidRDefault="00D4428E" w:rsidP="00D4428E"/>
    <w:p w14:paraId="0E4C02E4" w14:textId="77777777" w:rsidR="00D4428E" w:rsidRPr="00ED0E0F" w:rsidRDefault="00D4428E" w:rsidP="00D4428E"/>
    <w:p w14:paraId="15178FD7" w14:textId="77777777" w:rsidR="00D4428E" w:rsidRPr="00ED0E0F" w:rsidRDefault="00D4428E" w:rsidP="00D4428E"/>
    <w:p w14:paraId="43F5E89F" w14:textId="77777777" w:rsidR="00D4428E" w:rsidRPr="00ED0E0F" w:rsidRDefault="00D4428E" w:rsidP="00D4428E"/>
    <w:p w14:paraId="4BE9FA78" w14:textId="77777777" w:rsidR="00D4428E" w:rsidRPr="00ED0E0F" w:rsidRDefault="00D4428E" w:rsidP="00D4428E"/>
    <w:p w14:paraId="6A3ABE35" w14:textId="77777777" w:rsidR="00D4428E" w:rsidRPr="00ED0E0F" w:rsidRDefault="00D4428E" w:rsidP="00D4428E"/>
    <w:p w14:paraId="6A9FF7AE" w14:textId="77777777" w:rsidR="00D4428E" w:rsidRPr="00ED0E0F" w:rsidRDefault="00D4428E" w:rsidP="00D4428E"/>
    <w:p w14:paraId="15EDB4CA" w14:textId="77777777" w:rsidR="00D4428E" w:rsidRPr="00ED0E0F" w:rsidRDefault="00D4428E" w:rsidP="00D4428E"/>
    <w:p w14:paraId="5B3D7668" w14:textId="77777777" w:rsidR="00D4428E" w:rsidRPr="00ED0E0F" w:rsidRDefault="00D4428E" w:rsidP="00D4428E"/>
    <w:p w14:paraId="5FF4697E" w14:textId="77777777" w:rsidR="00D4428E" w:rsidRPr="00ED0E0F" w:rsidRDefault="00D4428E" w:rsidP="00D4428E">
      <w:pPr>
        <w:rPr>
          <w:b/>
          <w:sz w:val="28"/>
          <w:szCs w:val="28"/>
        </w:rPr>
      </w:pPr>
    </w:p>
    <w:p w14:paraId="3E7FEE53" w14:textId="77777777" w:rsidR="00D4428E" w:rsidRPr="00ED0E0F" w:rsidRDefault="00D4428E" w:rsidP="00D4428E">
      <w:pPr>
        <w:rPr>
          <w:b/>
          <w:sz w:val="28"/>
          <w:szCs w:val="28"/>
        </w:rPr>
      </w:pPr>
      <w:r w:rsidRPr="00ED0E0F">
        <w:rPr>
          <w:b/>
          <w:sz w:val="28"/>
          <w:szCs w:val="28"/>
        </w:rPr>
        <w:t xml:space="preserve">Population-Age and Sex Distribution </w:t>
      </w:r>
    </w:p>
    <w:p w14:paraId="4CE6C10A" w14:textId="77777777" w:rsidR="00D4428E" w:rsidRPr="00ED0E0F" w:rsidRDefault="00D4428E" w:rsidP="00D4428E"/>
    <w:p w14:paraId="4B888322" w14:textId="77777777" w:rsidR="00D4428E" w:rsidRPr="00ED0E0F" w:rsidRDefault="00D4428E" w:rsidP="00D4428E"/>
    <w:p w14:paraId="4F1B9BC6" w14:textId="77777777" w:rsidR="00D4428E" w:rsidRPr="00ED0E0F" w:rsidRDefault="00D4428E" w:rsidP="00D4428E">
      <w:r w:rsidRPr="00ED0E0F">
        <w:rPr>
          <w:noProof/>
        </w:rPr>
        <w:drawing>
          <wp:inline distT="0" distB="0" distL="0" distR="0" wp14:anchorId="16A6DBB6" wp14:editId="1A47988E">
            <wp:extent cx="5486400" cy="4879238"/>
            <wp:effectExtent l="0" t="0" r="25400"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33CE66" w14:textId="77777777" w:rsidR="00D4428E" w:rsidRPr="00ED0E0F" w:rsidRDefault="00D4428E" w:rsidP="00D4428E"/>
    <w:p w14:paraId="6B82063B" w14:textId="77777777" w:rsidR="00D4428E" w:rsidRPr="00ED0E0F" w:rsidRDefault="00D4428E" w:rsidP="00D4428E">
      <w:r w:rsidRPr="00ED0E0F">
        <w:t xml:space="preserve">A majority of the population (19.8%) lies between the ages of 20 to 24. This spike in the presence young adults in the city is due to enrolment at the university. Excluding the 20 to 24 year olds age group, 37.08% of the population is above the age of 50. </w:t>
      </w:r>
    </w:p>
    <w:p w14:paraId="7635E3EA" w14:textId="77777777" w:rsidR="00D4428E" w:rsidRPr="00ED0E0F" w:rsidRDefault="00D4428E" w:rsidP="00D4428E"/>
    <w:p w14:paraId="0C758A29" w14:textId="77777777" w:rsidR="00D4428E" w:rsidRPr="00ED0E0F" w:rsidRDefault="00D4428E" w:rsidP="00D4428E">
      <w:r w:rsidRPr="00ED0E0F">
        <w:rPr>
          <w:i/>
        </w:rPr>
        <w:t>Source: 2010 U.S Census-- Decennial Census</w:t>
      </w:r>
    </w:p>
    <w:p w14:paraId="14420E01" w14:textId="77777777" w:rsidR="00D4428E" w:rsidRPr="00ED0E0F" w:rsidRDefault="00D4428E" w:rsidP="00D4428E"/>
    <w:p w14:paraId="451FFE4D" w14:textId="77777777" w:rsidR="00D4428E" w:rsidRPr="00ED0E0F" w:rsidRDefault="00D4428E" w:rsidP="00D4428E"/>
    <w:p w14:paraId="776BA3D0" w14:textId="77777777" w:rsidR="00D4428E" w:rsidRPr="00ED0E0F" w:rsidRDefault="00D4428E" w:rsidP="00D4428E"/>
    <w:p w14:paraId="77786C94" w14:textId="77777777" w:rsidR="00D4428E" w:rsidRPr="00ED0E0F" w:rsidRDefault="00D4428E" w:rsidP="00D4428E"/>
    <w:p w14:paraId="61EA5A15" w14:textId="77777777" w:rsidR="00D4428E" w:rsidRPr="00ED0E0F" w:rsidRDefault="00D4428E" w:rsidP="00D4428E"/>
    <w:p w14:paraId="768EBC41" w14:textId="77777777" w:rsidR="00D4428E" w:rsidRPr="00ED0E0F" w:rsidRDefault="00D4428E" w:rsidP="00D4428E"/>
    <w:p w14:paraId="5CD907A4" w14:textId="77777777" w:rsidR="00D4428E" w:rsidRPr="00ED0E0F" w:rsidRDefault="00D4428E" w:rsidP="00D4428E"/>
    <w:p w14:paraId="0D070C80" w14:textId="77777777" w:rsidR="00D4428E" w:rsidRPr="00ED0E0F" w:rsidRDefault="00D4428E" w:rsidP="00D4428E"/>
    <w:p w14:paraId="62774FE2" w14:textId="77777777" w:rsidR="00D4428E" w:rsidRPr="00ED0E0F" w:rsidRDefault="00D4428E" w:rsidP="00D4428E">
      <w:pPr>
        <w:rPr>
          <w:b/>
          <w:sz w:val="28"/>
          <w:szCs w:val="28"/>
        </w:rPr>
      </w:pPr>
    </w:p>
    <w:p w14:paraId="16407296" w14:textId="77777777" w:rsidR="00D4428E" w:rsidRPr="00ED0E0F" w:rsidRDefault="00D4428E" w:rsidP="00D4428E">
      <w:pPr>
        <w:rPr>
          <w:b/>
          <w:sz w:val="28"/>
          <w:szCs w:val="28"/>
        </w:rPr>
      </w:pPr>
      <w:r w:rsidRPr="00ED0E0F">
        <w:rPr>
          <w:b/>
          <w:sz w:val="28"/>
          <w:szCs w:val="28"/>
        </w:rPr>
        <w:t>Population- Race</w:t>
      </w:r>
    </w:p>
    <w:p w14:paraId="4178A408" w14:textId="77777777" w:rsidR="00D4428E" w:rsidRPr="00ED0E0F" w:rsidRDefault="00D4428E" w:rsidP="00D4428E"/>
    <w:p w14:paraId="4C39A1F2" w14:textId="77777777" w:rsidR="00D4428E" w:rsidRPr="00ED0E0F" w:rsidRDefault="00D4428E" w:rsidP="00D4428E">
      <w:r w:rsidRPr="00ED0E0F">
        <w:rPr>
          <w:noProof/>
        </w:rPr>
        <w:drawing>
          <wp:inline distT="0" distB="0" distL="0" distR="0" wp14:anchorId="47B44558" wp14:editId="69D51EED">
            <wp:extent cx="4166235" cy="3043555"/>
            <wp:effectExtent l="0" t="0" r="24765" b="298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068EFD" w14:textId="77777777" w:rsidR="00D4428E" w:rsidRPr="00ED0E0F" w:rsidRDefault="00D4428E" w:rsidP="00D4428E">
      <w:r w:rsidRPr="00ED0E0F">
        <w:rPr>
          <w:noProof/>
        </w:rPr>
        <w:drawing>
          <wp:inline distT="0" distB="0" distL="0" distR="0" wp14:anchorId="301061C2" wp14:editId="7F832C62">
            <wp:extent cx="4166235" cy="2743200"/>
            <wp:effectExtent l="0" t="0" r="24765"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A86417" w14:textId="77777777" w:rsidR="00D4428E" w:rsidRPr="00ED0E0F" w:rsidRDefault="00D4428E" w:rsidP="00D4428E"/>
    <w:p w14:paraId="7F149A92" w14:textId="77777777" w:rsidR="00D4428E" w:rsidRPr="00ED0E0F" w:rsidRDefault="00D4428E" w:rsidP="00D4428E">
      <w:r w:rsidRPr="00ED0E0F">
        <w:t>From the above displays it is clear that there has not been a significant difference in the percentage of white residents in the city. In contrast, the population of Hispanic or Latino (of any race) has nearly doubled from 75 in 2000 to 171 in 2010. It is also worthy to note that there has been a drastic increase in the Asian population from 78 to 133 and a decrease in the Black or African American population from 89 to 71 over the past decade.</w:t>
      </w:r>
    </w:p>
    <w:p w14:paraId="547AD989" w14:textId="77777777" w:rsidR="00D4428E" w:rsidRPr="00ED0E0F" w:rsidRDefault="00D4428E" w:rsidP="00D4428E"/>
    <w:p w14:paraId="07F83869" w14:textId="77777777" w:rsidR="00D4428E" w:rsidRPr="00ED0E0F" w:rsidRDefault="00D4428E" w:rsidP="00D4428E">
      <w:r w:rsidRPr="00ED0E0F">
        <w:rPr>
          <w:i/>
        </w:rPr>
        <w:t>Source: 2000 and 2010 U.S Census Bureau- Decennial Census and ACS 5-year Summary</w:t>
      </w:r>
    </w:p>
    <w:p w14:paraId="5898CD3D" w14:textId="77777777" w:rsidR="00D4428E" w:rsidRPr="00ED0E0F" w:rsidRDefault="00D4428E" w:rsidP="00D4428E"/>
    <w:p w14:paraId="790686BB" w14:textId="77777777" w:rsidR="00D4428E" w:rsidRPr="00ED0E0F" w:rsidRDefault="00D4428E" w:rsidP="00D4428E">
      <w:pPr>
        <w:rPr>
          <w:b/>
          <w:sz w:val="28"/>
          <w:szCs w:val="28"/>
        </w:rPr>
      </w:pPr>
    </w:p>
    <w:p w14:paraId="0A6BB184" w14:textId="77777777" w:rsidR="00D4428E" w:rsidRPr="00ED0E0F" w:rsidRDefault="00D4428E" w:rsidP="00D4428E">
      <w:pPr>
        <w:rPr>
          <w:b/>
          <w:sz w:val="28"/>
          <w:szCs w:val="28"/>
        </w:rPr>
      </w:pPr>
      <w:r w:rsidRPr="00ED0E0F">
        <w:rPr>
          <w:b/>
          <w:sz w:val="28"/>
          <w:szCs w:val="28"/>
        </w:rPr>
        <w:t xml:space="preserve">Income- Median Household </w:t>
      </w:r>
    </w:p>
    <w:p w14:paraId="6085D8E9" w14:textId="77777777" w:rsidR="00D4428E" w:rsidRPr="00ED0E0F" w:rsidRDefault="00D4428E" w:rsidP="00D4428E"/>
    <w:p w14:paraId="09DF592F" w14:textId="77777777" w:rsidR="00D4428E" w:rsidRPr="00ED0E0F" w:rsidRDefault="00D4428E" w:rsidP="00D4428E"/>
    <w:p w14:paraId="586D2130" w14:textId="77777777" w:rsidR="00D4428E" w:rsidRPr="00ED0E0F" w:rsidRDefault="00D4428E" w:rsidP="00D4428E">
      <w:r w:rsidRPr="00ED0E0F">
        <w:rPr>
          <w:noProof/>
        </w:rPr>
        <w:drawing>
          <wp:inline distT="0" distB="0" distL="0" distR="0" wp14:anchorId="664AB4CB" wp14:editId="5B06C010">
            <wp:extent cx="4572000" cy="2743200"/>
            <wp:effectExtent l="0" t="0" r="25400" b="254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9F025B" w14:textId="77777777" w:rsidR="00D4428E" w:rsidRPr="00ED0E0F" w:rsidRDefault="00D4428E" w:rsidP="00D4428E"/>
    <w:p w14:paraId="082A47AF" w14:textId="77777777" w:rsidR="00D4428E" w:rsidRPr="00ED0E0F" w:rsidRDefault="00D4428E" w:rsidP="00D4428E">
      <w:r w:rsidRPr="00ED0E0F">
        <w:t xml:space="preserve">There was a 17.5% increase in the median household income in Morris from 2000 with an income of  $31,786, to 2010 with an income of  </w:t>
      </w:r>
      <w:r w:rsidRPr="00ED0E0F">
        <w:rPr>
          <w:color w:val="000000" w:themeColor="text1"/>
        </w:rPr>
        <w:t>$38,511</w:t>
      </w:r>
      <w:r w:rsidRPr="00ED0E0F">
        <w:t xml:space="preserve">. The graph shows Morris has the third lowest median household income of all the cities in Stevens County. </w:t>
      </w:r>
    </w:p>
    <w:p w14:paraId="590CCA55" w14:textId="77777777" w:rsidR="00D4428E" w:rsidRPr="00ED0E0F" w:rsidRDefault="00D4428E" w:rsidP="00D4428E"/>
    <w:p w14:paraId="5ABAFCD6" w14:textId="77777777" w:rsidR="00D4428E" w:rsidRPr="00ED0E0F" w:rsidRDefault="00D4428E" w:rsidP="00D4428E">
      <w:r w:rsidRPr="00ED0E0F">
        <w:rPr>
          <w:i/>
        </w:rPr>
        <w:t>Source: 2010 U.S Census Bureau- ACS 5-year Summary</w:t>
      </w:r>
    </w:p>
    <w:p w14:paraId="52829567" w14:textId="77777777" w:rsidR="00D4428E" w:rsidRPr="00ED0E0F" w:rsidRDefault="00D4428E" w:rsidP="00D4428E"/>
    <w:p w14:paraId="76AA6D53" w14:textId="77777777" w:rsidR="00D4428E" w:rsidRPr="00ED0E0F" w:rsidRDefault="00D4428E" w:rsidP="00D4428E"/>
    <w:p w14:paraId="0331125A" w14:textId="77777777" w:rsidR="00D4428E" w:rsidRPr="00ED0E0F" w:rsidRDefault="00D4428E" w:rsidP="00D4428E"/>
    <w:p w14:paraId="0C99AA4A" w14:textId="77777777" w:rsidR="00D4428E" w:rsidRPr="00ED0E0F" w:rsidRDefault="00D4428E" w:rsidP="00D4428E"/>
    <w:p w14:paraId="7E269712" w14:textId="77777777" w:rsidR="00D4428E" w:rsidRPr="00ED0E0F" w:rsidRDefault="00D4428E" w:rsidP="00D4428E"/>
    <w:p w14:paraId="297E9B98" w14:textId="77777777" w:rsidR="00D4428E" w:rsidRPr="00ED0E0F" w:rsidRDefault="00D4428E" w:rsidP="00D4428E"/>
    <w:p w14:paraId="7923EFE8" w14:textId="77777777" w:rsidR="00D4428E" w:rsidRPr="00ED0E0F" w:rsidRDefault="00D4428E" w:rsidP="00D4428E"/>
    <w:p w14:paraId="72B78160" w14:textId="77777777" w:rsidR="00D4428E" w:rsidRPr="00ED0E0F" w:rsidRDefault="00D4428E" w:rsidP="00D4428E"/>
    <w:p w14:paraId="04EB47E0" w14:textId="77777777" w:rsidR="00D4428E" w:rsidRPr="00ED0E0F" w:rsidRDefault="00D4428E" w:rsidP="00D4428E"/>
    <w:p w14:paraId="51310390" w14:textId="77777777" w:rsidR="00D4428E" w:rsidRPr="00ED0E0F" w:rsidRDefault="00D4428E" w:rsidP="00D4428E"/>
    <w:p w14:paraId="60628513" w14:textId="77777777" w:rsidR="00D4428E" w:rsidRPr="00ED0E0F" w:rsidRDefault="00D4428E" w:rsidP="00D4428E"/>
    <w:p w14:paraId="3E981AF8" w14:textId="77777777" w:rsidR="00D4428E" w:rsidRPr="00ED0E0F" w:rsidRDefault="00D4428E" w:rsidP="00D4428E"/>
    <w:p w14:paraId="6C4F799A" w14:textId="77777777" w:rsidR="00D4428E" w:rsidRPr="00ED0E0F" w:rsidRDefault="00D4428E" w:rsidP="00D4428E"/>
    <w:p w14:paraId="3FF8FD29" w14:textId="77777777" w:rsidR="00D4428E" w:rsidRPr="00ED0E0F" w:rsidRDefault="00D4428E" w:rsidP="00D4428E"/>
    <w:p w14:paraId="4E14DD3E" w14:textId="77777777" w:rsidR="00D4428E" w:rsidRPr="00ED0E0F" w:rsidRDefault="00D4428E" w:rsidP="00D4428E"/>
    <w:p w14:paraId="11787B14" w14:textId="77777777" w:rsidR="00D4428E" w:rsidRPr="00ED0E0F" w:rsidRDefault="00D4428E" w:rsidP="00D4428E"/>
    <w:p w14:paraId="561662CA" w14:textId="77777777" w:rsidR="00D4428E" w:rsidRPr="00ED0E0F" w:rsidRDefault="00D4428E" w:rsidP="00D4428E"/>
    <w:p w14:paraId="33D8C5E3" w14:textId="77777777" w:rsidR="00D4428E" w:rsidRPr="00ED0E0F" w:rsidRDefault="00D4428E" w:rsidP="00D4428E"/>
    <w:p w14:paraId="1E2C5B86" w14:textId="77777777" w:rsidR="00D4428E" w:rsidRPr="00ED0E0F" w:rsidRDefault="00D4428E" w:rsidP="00D4428E"/>
    <w:p w14:paraId="26BFF727" w14:textId="77777777" w:rsidR="00D4428E" w:rsidRPr="00ED0E0F" w:rsidRDefault="00D4428E" w:rsidP="00D4428E">
      <w:pPr>
        <w:rPr>
          <w:b/>
          <w:sz w:val="28"/>
          <w:szCs w:val="28"/>
        </w:rPr>
      </w:pPr>
    </w:p>
    <w:p w14:paraId="2D7953FB" w14:textId="77777777" w:rsidR="00D4428E" w:rsidRPr="00ED0E0F" w:rsidRDefault="00D4428E" w:rsidP="00D4428E">
      <w:pPr>
        <w:rPr>
          <w:b/>
          <w:sz w:val="28"/>
          <w:szCs w:val="28"/>
        </w:rPr>
      </w:pPr>
    </w:p>
    <w:p w14:paraId="2297A298" w14:textId="77777777" w:rsidR="00D4428E" w:rsidRPr="00ED0E0F" w:rsidRDefault="00D4428E" w:rsidP="00D4428E">
      <w:pPr>
        <w:rPr>
          <w:b/>
          <w:sz w:val="28"/>
          <w:szCs w:val="28"/>
        </w:rPr>
      </w:pPr>
      <w:r w:rsidRPr="00ED0E0F">
        <w:rPr>
          <w:b/>
          <w:sz w:val="28"/>
          <w:szCs w:val="28"/>
        </w:rPr>
        <w:t>Income-Household Income</w:t>
      </w:r>
    </w:p>
    <w:p w14:paraId="2E4575F7" w14:textId="77777777" w:rsidR="00D4428E" w:rsidRPr="00ED0E0F" w:rsidRDefault="00D4428E" w:rsidP="00D4428E"/>
    <w:p w14:paraId="39CB48EA" w14:textId="77777777" w:rsidR="00D4428E" w:rsidRPr="00ED0E0F" w:rsidRDefault="00D4428E" w:rsidP="00D4428E"/>
    <w:p w14:paraId="46B91E16" w14:textId="77777777" w:rsidR="00D4428E" w:rsidRPr="00ED0E0F" w:rsidRDefault="00D4428E" w:rsidP="00D4428E">
      <w:r w:rsidRPr="00ED0E0F">
        <w:rPr>
          <w:noProof/>
        </w:rPr>
        <w:drawing>
          <wp:inline distT="0" distB="0" distL="0" distR="0" wp14:anchorId="2D030A5E" wp14:editId="68B188D8">
            <wp:extent cx="4509135" cy="3228340"/>
            <wp:effectExtent l="0" t="0" r="37465" b="2286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C40D1B" w14:textId="77777777" w:rsidR="00D4428E" w:rsidRPr="00ED0E0F" w:rsidRDefault="00D4428E" w:rsidP="00D4428E"/>
    <w:p w14:paraId="6A3799DA" w14:textId="77777777" w:rsidR="00D4428E" w:rsidRPr="00ED0E0F" w:rsidRDefault="00D4428E" w:rsidP="00D4428E">
      <w:r w:rsidRPr="00ED0E0F">
        <w:t xml:space="preserve">The median household income for Morris in 2010 was $38,511. Based on the graph, it can be noted that about 35.2% of households fall below the median household income.  The </w:t>
      </w:r>
      <w:r w:rsidR="00983A99" w:rsidRPr="00ED0E0F">
        <w:t>income groups for the most households</w:t>
      </w:r>
      <w:r w:rsidRPr="00ED0E0F">
        <w:t xml:space="preserve"> for Morris residents are $50,000 to $74,999 and $15,000 to $24,999. The drastic difference between these two incomes range highlight the difference between the residents of Morris- the poverty stricken university student and the upper-middle class residents. </w:t>
      </w:r>
    </w:p>
    <w:p w14:paraId="72162040" w14:textId="77777777" w:rsidR="00D4428E" w:rsidRPr="00ED0E0F" w:rsidRDefault="00D4428E" w:rsidP="00D4428E"/>
    <w:p w14:paraId="55E03235" w14:textId="77777777" w:rsidR="00D4428E" w:rsidRPr="00ED0E0F" w:rsidRDefault="00D4428E" w:rsidP="00D4428E">
      <w:r w:rsidRPr="00ED0E0F">
        <w:rPr>
          <w:i/>
        </w:rPr>
        <w:t>Source: 2010 U.S Census Bureau- ACS 5-year Summary</w:t>
      </w:r>
    </w:p>
    <w:p w14:paraId="14F2F7F1" w14:textId="77777777" w:rsidR="00D4428E" w:rsidRPr="00ED0E0F" w:rsidRDefault="00D4428E" w:rsidP="00D4428E"/>
    <w:p w14:paraId="481EA67A" w14:textId="77777777" w:rsidR="00D4428E" w:rsidRPr="00ED0E0F" w:rsidRDefault="00D4428E" w:rsidP="00D4428E"/>
    <w:p w14:paraId="5AE56C90" w14:textId="77777777" w:rsidR="00D4428E" w:rsidRPr="00ED0E0F" w:rsidRDefault="00D4428E" w:rsidP="00D4428E"/>
    <w:p w14:paraId="2E82ACC7" w14:textId="77777777" w:rsidR="00D4428E" w:rsidRPr="00ED0E0F" w:rsidRDefault="00D4428E" w:rsidP="00D4428E"/>
    <w:p w14:paraId="662B0750" w14:textId="77777777" w:rsidR="00D4428E" w:rsidRPr="00ED0E0F" w:rsidRDefault="00D4428E" w:rsidP="00D4428E"/>
    <w:p w14:paraId="1BC46AAC" w14:textId="77777777" w:rsidR="00D4428E" w:rsidRPr="00ED0E0F" w:rsidRDefault="00D4428E" w:rsidP="00D4428E"/>
    <w:p w14:paraId="593CFD75" w14:textId="77777777" w:rsidR="00D4428E" w:rsidRPr="00ED0E0F" w:rsidRDefault="00D4428E" w:rsidP="00D4428E"/>
    <w:p w14:paraId="13D45B75" w14:textId="77777777" w:rsidR="00D4428E" w:rsidRPr="00ED0E0F" w:rsidRDefault="00D4428E" w:rsidP="00D4428E"/>
    <w:p w14:paraId="54C544D6" w14:textId="77777777" w:rsidR="00D4428E" w:rsidRPr="00ED0E0F" w:rsidRDefault="00D4428E" w:rsidP="00D4428E"/>
    <w:p w14:paraId="2EEE9B76" w14:textId="77777777" w:rsidR="00D4428E" w:rsidRPr="00ED0E0F" w:rsidRDefault="00D4428E" w:rsidP="00D4428E"/>
    <w:p w14:paraId="12CECFEB" w14:textId="77777777" w:rsidR="00D4428E" w:rsidRPr="00ED0E0F" w:rsidRDefault="00D4428E" w:rsidP="00D4428E"/>
    <w:p w14:paraId="230B19E1" w14:textId="77777777" w:rsidR="00D4428E" w:rsidRPr="00ED0E0F" w:rsidRDefault="00D4428E" w:rsidP="00D4428E"/>
    <w:p w14:paraId="7BEC865B" w14:textId="77777777" w:rsidR="00D4428E" w:rsidRPr="00ED0E0F" w:rsidRDefault="00D4428E" w:rsidP="00D4428E"/>
    <w:p w14:paraId="3BEB450C" w14:textId="77777777" w:rsidR="00D4428E" w:rsidRPr="00ED0E0F" w:rsidRDefault="00D4428E" w:rsidP="00D4428E">
      <w:pPr>
        <w:rPr>
          <w:b/>
          <w:sz w:val="28"/>
          <w:szCs w:val="28"/>
        </w:rPr>
      </w:pPr>
    </w:p>
    <w:p w14:paraId="4BC4BE17" w14:textId="77777777" w:rsidR="00D4428E" w:rsidRPr="00ED0E0F" w:rsidRDefault="00D4428E" w:rsidP="00D4428E">
      <w:pPr>
        <w:rPr>
          <w:b/>
          <w:sz w:val="28"/>
          <w:szCs w:val="28"/>
        </w:rPr>
      </w:pPr>
    </w:p>
    <w:p w14:paraId="55BD654D" w14:textId="77777777" w:rsidR="00D4428E" w:rsidRPr="00ED0E0F" w:rsidRDefault="00D4428E" w:rsidP="00D4428E">
      <w:pPr>
        <w:rPr>
          <w:b/>
          <w:sz w:val="28"/>
          <w:szCs w:val="28"/>
        </w:rPr>
      </w:pPr>
      <w:r w:rsidRPr="00ED0E0F">
        <w:rPr>
          <w:b/>
          <w:sz w:val="28"/>
          <w:szCs w:val="28"/>
        </w:rPr>
        <w:t>Income-Origins</w:t>
      </w:r>
    </w:p>
    <w:p w14:paraId="5DE418DB" w14:textId="77777777" w:rsidR="00D4428E" w:rsidRPr="00ED0E0F" w:rsidRDefault="00D4428E" w:rsidP="00D4428E"/>
    <w:p w14:paraId="129A7A41" w14:textId="77777777" w:rsidR="00D4428E" w:rsidRPr="00ED0E0F" w:rsidRDefault="00D4428E" w:rsidP="00D4428E">
      <w:r w:rsidRPr="00ED0E0F">
        <w:rPr>
          <w:noProof/>
        </w:rPr>
        <w:drawing>
          <wp:inline distT="0" distB="0" distL="0" distR="0" wp14:anchorId="7DDBB85B" wp14:editId="713C7EDB">
            <wp:extent cx="4660900" cy="4629150"/>
            <wp:effectExtent l="0" t="0" r="1270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50CA48" w14:textId="77777777" w:rsidR="00D4428E" w:rsidRPr="00ED0E0F" w:rsidRDefault="00D4428E" w:rsidP="00D4428E"/>
    <w:p w14:paraId="756D0E9C" w14:textId="77777777" w:rsidR="00D4428E" w:rsidRPr="00ED0E0F" w:rsidRDefault="00D4428E" w:rsidP="00D4428E">
      <w:r w:rsidRPr="00ED0E0F">
        <w:t xml:space="preserve">In 2010, 44.2% of households in Morris received part of their income from sources other than salary and wages, a decrease from 49.1% in 2000. </w:t>
      </w:r>
    </w:p>
    <w:p w14:paraId="73D66A6F" w14:textId="77777777" w:rsidR="00D4428E" w:rsidRPr="00ED0E0F" w:rsidRDefault="00D4428E" w:rsidP="00D4428E"/>
    <w:p w14:paraId="03BE1698" w14:textId="77777777" w:rsidR="00D4428E" w:rsidRPr="00ED0E0F" w:rsidRDefault="00D4428E" w:rsidP="00D4428E">
      <w:r w:rsidRPr="00ED0E0F">
        <w:rPr>
          <w:i/>
        </w:rPr>
        <w:t>Source: 2000 and 2010 U.S Census Bureau- Decennial Census and ACS 5-year Summary</w:t>
      </w:r>
    </w:p>
    <w:p w14:paraId="2E7578D9" w14:textId="77777777" w:rsidR="00D4428E" w:rsidRPr="00ED0E0F" w:rsidRDefault="00D4428E" w:rsidP="00D4428E"/>
    <w:p w14:paraId="6BA9D613" w14:textId="77777777" w:rsidR="00D4428E" w:rsidRPr="00ED0E0F" w:rsidRDefault="00D4428E" w:rsidP="00D4428E">
      <w:pPr>
        <w:rPr>
          <w:b/>
          <w:sz w:val="28"/>
          <w:szCs w:val="28"/>
        </w:rPr>
      </w:pPr>
    </w:p>
    <w:p w14:paraId="6D868E69" w14:textId="77777777" w:rsidR="00D4428E" w:rsidRPr="00ED0E0F" w:rsidRDefault="00D4428E" w:rsidP="00D4428E"/>
    <w:p w14:paraId="5E12478E" w14:textId="77777777" w:rsidR="00D4428E" w:rsidRPr="00ED0E0F" w:rsidRDefault="00D4428E" w:rsidP="00D4428E"/>
    <w:p w14:paraId="7E5004B3" w14:textId="77777777" w:rsidR="00D4428E" w:rsidRPr="00ED0E0F" w:rsidRDefault="00D4428E" w:rsidP="00D4428E"/>
    <w:p w14:paraId="5ED1395E" w14:textId="77777777" w:rsidR="00D4428E" w:rsidRPr="00ED0E0F" w:rsidRDefault="00D4428E" w:rsidP="00D4428E"/>
    <w:p w14:paraId="1B92AC2F" w14:textId="77777777" w:rsidR="00D4428E" w:rsidRPr="00ED0E0F" w:rsidRDefault="00D4428E" w:rsidP="00D4428E"/>
    <w:p w14:paraId="64E4432A" w14:textId="77777777" w:rsidR="00D4428E" w:rsidRPr="00ED0E0F" w:rsidRDefault="00D4428E" w:rsidP="00D4428E"/>
    <w:p w14:paraId="23F19606" w14:textId="77777777" w:rsidR="00D4428E" w:rsidRPr="00ED0E0F" w:rsidRDefault="00D4428E" w:rsidP="00D4428E"/>
    <w:p w14:paraId="06153003" w14:textId="77777777" w:rsidR="00D4428E" w:rsidRPr="00ED0E0F" w:rsidRDefault="00D4428E" w:rsidP="00D4428E"/>
    <w:p w14:paraId="75DF8FAB" w14:textId="77777777" w:rsidR="00D4428E" w:rsidRPr="00ED0E0F" w:rsidRDefault="00D4428E" w:rsidP="00D4428E"/>
    <w:p w14:paraId="1C979640" w14:textId="77777777" w:rsidR="00D4428E" w:rsidRPr="00ED0E0F" w:rsidRDefault="00D4428E" w:rsidP="00D4428E">
      <w:pPr>
        <w:rPr>
          <w:b/>
          <w:sz w:val="28"/>
          <w:szCs w:val="28"/>
        </w:rPr>
      </w:pPr>
    </w:p>
    <w:p w14:paraId="7E6BC3ED" w14:textId="77777777" w:rsidR="00D4428E" w:rsidRPr="00ED0E0F" w:rsidRDefault="00D4428E" w:rsidP="00D4428E">
      <w:pPr>
        <w:rPr>
          <w:b/>
          <w:sz w:val="28"/>
          <w:szCs w:val="28"/>
        </w:rPr>
      </w:pPr>
      <w:r w:rsidRPr="00ED0E0F">
        <w:rPr>
          <w:b/>
          <w:sz w:val="28"/>
          <w:szCs w:val="28"/>
        </w:rPr>
        <w:t>Income- Families Below Poverty Level</w:t>
      </w:r>
    </w:p>
    <w:p w14:paraId="07486186" w14:textId="77777777" w:rsidR="00D4428E" w:rsidRPr="00ED0E0F" w:rsidRDefault="00D4428E" w:rsidP="00D4428E"/>
    <w:p w14:paraId="7ED2000F" w14:textId="77777777" w:rsidR="00D4428E" w:rsidRPr="00ED0E0F" w:rsidRDefault="00D4428E" w:rsidP="00D4428E">
      <w:r w:rsidRPr="00ED0E0F">
        <w:rPr>
          <w:noProof/>
        </w:rPr>
        <w:drawing>
          <wp:inline distT="0" distB="0" distL="0" distR="0" wp14:anchorId="38DB84E1" wp14:editId="5885862D">
            <wp:extent cx="5486400" cy="2921000"/>
            <wp:effectExtent l="0" t="0" r="25400" b="2540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5929FF" w14:textId="77777777" w:rsidR="00D4428E" w:rsidRPr="00ED0E0F" w:rsidRDefault="00D4428E" w:rsidP="00D4428E"/>
    <w:p w14:paraId="4CAD00DD" w14:textId="77777777" w:rsidR="00D4428E" w:rsidRPr="00ED0E0F" w:rsidRDefault="00D4428E" w:rsidP="00D4428E">
      <w:r w:rsidRPr="00ED0E0F">
        <w:t xml:space="preserve">With 9.5% of families below the poverty level in 2010, Morris has the second highest percentage of families below the poverty level in Stevens County. This nearly doubles the percentage of families below the poverty level in Stevens County as a whole for 2010. In 2000 the percentage of families below the poverty level was 8.4% in Morris City. </w:t>
      </w:r>
    </w:p>
    <w:p w14:paraId="24070756" w14:textId="77777777" w:rsidR="00D4428E" w:rsidRPr="00ED0E0F" w:rsidRDefault="00D4428E" w:rsidP="00D4428E"/>
    <w:p w14:paraId="3CB13B0B" w14:textId="77777777" w:rsidR="00D4428E" w:rsidRPr="00ED0E0F" w:rsidRDefault="00D4428E" w:rsidP="00D4428E">
      <w:r w:rsidRPr="00ED0E0F">
        <w:rPr>
          <w:i/>
        </w:rPr>
        <w:t>Source: U.S Census Bureau- ACS 5-year Summary</w:t>
      </w:r>
    </w:p>
    <w:p w14:paraId="7632F5CD" w14:textId="77777777" w:rsidR="00D4428E" w:rsidRPr="00ED0E0F" w:rsidRDefault="00D4428E" w:rsidP="00D4428E"/>
    <w:p w14:paraId="1C0CAD64" w14:textId="77777777" w:rsidR="00D4428E" w:rsidRPr="00ED0E0F" w:rsidRDefault="00D4428E" w:rsidP="00D4428E">
      <w:pPr>
        <w:rPr>
          <w:b/>
          <w:sz w:val="28"/>
          <w:szCs w:val="28"/>
        </w:rPr>
      </w:pPr>
    </w:p>
    <w:p w14:paraId="2D6488CE" w14:textId="77777777" w:rsidR="00D4428E" w:rsidRPr="00ED0E0F" w:rsidRDefault="00D4428E" w:rsidP="00D4428E"/>
    <w:p w14:paraId="04E11883" w14:textId="77777777" w:rsidR="00D4428E" w:rsidRPr="00ED0E0F" w:rsidRDefault="00D4428E" w:rsidP="00D4428E"/>
    <w:p w14:paraId="4A760C9E" w14:textId="77777777" w:rsidR="00D4428E" w:rsidRPr="00ED0E0F" w:rsidRDefault="00D4428E" w:rsidP="00D4428E"/>
    <w:p w14:paraId="2DCED7A0" w14:textId="77777777" w:rsidR="00D4428E" w:rsidRPr="00ED0E0F" w:rsidRDefault="00D4428E" w:rsidP="00D4428E"/>
    <w:p w14:paraId="7332E0E0" w14:textId="77777777" w:rsidR="00D4428E" w:rsidRPr="00ED0E0F" w:rsidRDefault="00D4428E" w:rsidP="00D4428E"/>
    <w:p w14:paraId="01E9E3B8" w14:textId="77777777" w:rsidR="00D4428E" w:rsidRPr="00ED0E0F" w:rsidRDefault="00D4428E" w:rsidP="00D4428E"/>
    <w:p w14:paraId="04D1C484" w14:textId="77777777" w:rsidR="00D4428E" w:rsidRPr="00ED0E0F" w:rsidRDefault="00D4428E" w:rsidP="00D4428E"/>
    <w:p w14:paraId="7E6CB80B" w14:textId="77777777" w:rsidR="00D4428E" w:rsidRPr="00ED0E0F" w:rsidRDefault="00D4428E" w:rsidP="00D4428E"/>
    <w:p w14:paraId="2BDD88C1" w14:textId="77777777" w:rsidR="00D4428E" w:rsidRPr="00ED0E0F" w:rsidRDefault="00D4428E" w:rsidP="00D4428E"/>
    <w:p w14:paraId="6CD42E1A" w14:textId="77777777" w:rsidR="00D4428E" w:rsidRPr="00ED0E0F" w:rsidRDefault="00D4428E" w:rsidP="00D4428E"/>
    <w:p w14:paraId="22F97B0E" w14:textId="77777777" w:rsidR="00D4428E" w:rsidRPr="00ED0E0F" w:rsidRDefault="00D4428E" w:rsidP="00D4428E"/>
    <w:p w14:paraId="57F2993B" w14:textId="77777777" w:rsidR="00D4428E" w:rsidRPr="00ED0E0F" w:rsidRDefault="00D4428E" w:rsidP="00D4428E"/>
    <w:p w14:paraId="10ED61C6" w14:textId="77777777" w:rsidR="00D4428E" w:rsidRPr="00ED0E0F" w:rsidRDefault="00D4428E" w:rsidP="00D4428E"/>
    <w:p w14:paraId="7DCCADA3" w14:textId="77777777" w:rsidR="00D4428E" w:rsidRPr="00ED0E0F" w:rsidRDefault="00D4428E" w:rsidP="00D4428E"/>
    <w:p w14:paraId="302E35B6" w14:textId="77777777" w:rsidR="00D4428E" w:rsidRPr="00ED0E0F" w:rsidRDefault="00D4428E" w:rsidP="00D4428E"/>
    <w:p w14:paraId="77CF4561" w14:textId="77777777" w:rsidR="00D4428E" w:rsidRPr="00ED0E0F" w:rsidRDefault="00D4428E" w:rsidP="00D4428E"/>
    <w:p w14:paraId="65A59844" w14:textId="77777777" w:rsidR="00D4428E" w:rsidRPr="00ED0E0F" w:rsidRDefault="00D4428E" w:rsidP="00D4428E"/>
    <w:p w14:paraId="1CCF56A0" w14:textId="77777777" w:rsidR="00D4428E" w:rsidRPr="00ED0E0F" w:rsidRDefault="00D4428E" w:rsidP="00D4428E"/>
    <w:p w14:paraId="593AFD82" w14:textId="77777777" w:rsidR="00D4428E" w:rsidRPr="00ED0E0F" w:rsidRDefault="00D4428E" w:rsidP="00D4428E"/>
    <w:p w14:paraId="471C45B5" w14:textId="77777777" w:rsidR="00D4428E" w:rsidRPr="00ED0E0F" w:rsidRDefault="00D4428E" w:rsidP="00D4428E">
      <w:pPr>
        <w:rPr>
          <w:b/>
          <w:sz w:val="28"/>
          <w:szCs w:val="28"/>
        </w:rPr>
      </w:pPr>
      <w:r w:rsidRPr="00ED0E0F">
        <w:rPr>
          <w:b/>
          <w:sz w:val="28"/>
          <w:szCs w:val="28"/>
        </w:rPr>
        <w:t>Employment- Industries</w:t>
      </w:r>
    </w:p>
    <w:p w14:paraId="22AB16A9" w14:textId="77777777" w:rsidR="00D4428E" w:rsidRPr="00ED0E0F" w:rsidRDefault="00D4428E" w:rsidP="00D4428E"/>
    <w:p w14:paraId="18910612" w14:textId="77777777" w:rsidR="00D4428E" w:rsidRPr="00ED0E0F" w:rsidRDefault="00D4428E" w:rsidP="00D4428E">
      <w:r w:rsidRPr="00ED0E0F">
        <w:rPr>
          <w:noProof/>
        </w:rPr>
        <w:drawing>
          <wp:inline distT="0" distB="0" distL="0" distR="0" wp14:anchorId="15794F68" wp14:editId="69E80133">
            <wp:extent cx="5486400" cy="3625516"/>
            <wp:effectExtent l="0" t="0" r="25400" b="3238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A2AE9E" w14:textId="77777777" w:rsidR="00D4428E" w:rsidRPr="00ED0E0F" w:rsidRDefault="00D4428E" w:rsidP="00D4428E"/>
    <w:p w14:paraId="1211A138" w14:textId="77777777" w:rsidR="00D4428E" w:rsidRPr="00ED0E0F" w:rsidRDefault="00D4428E" w:rsidP="00D4428E">
      <w:r w:rsidRPr="00ED0E0F">
        <w:t>Education services, and health care, and social assistance were the top industries in Morris in 2010. Together, these industries employed 1,548 people and made up 56% of the work force. In 2000, these industries employed 1,116 people, and made up [put % here] of the work force.</w:t>
      </w:r>
    </w:p>
    <w:p w14:paraId="49628F33" w14:textId="77777777" w:rsidR="00D4428E" w:rsidRPr="00ED0E0F" w:rsidRDefault="00D4428E" w:rsidP="00D4428E"/>
    <w:p w14:paraId="651C77A9" w14:textId="77777777" w:rsidR="00D4428E" w:rsidRPr="00ED0E0F" w:rsidRDefault="00D4428E" w:rsidP="00D4428E">
      <w:r w:rsidRPr="00ED0E0F">
        <w:rPr>
          <w:i/>
        </w:rPr>
        <w:t>Source: 2010 and 2000 U.S Census Bureau- Decennial Census and ACS 5-year Summary</w:t>
      </w:r>
    </w:p>
    <w:p w14:paraId="102769F6" w14:textId="77777777" w:rsidR="00D4428E" w:rsidRPr="00ED0E0F" w:rsidRDefault="00D4428E" w:rsidP="00D4428E"/>
    <w:p w14:paraId="5318B47E" w14:textId="77777777" w:rsidR="00D4428E" w:rsidRPr="00ED0E0F" w:rsidRDefault="00D4428E" w:rsidP="00D4428E">
      <w:pPr>
        <w:rPr>
          <w:b/>
          <w:sz w:val="28"/>
          <w:szCs w:val="28"/>
        </w:rPr>
      </w:pPr>
    </w:p>
    <w:p w14:paraId="75D13377" w14:textId="77777777" w:rsidR="00D4428E" w:rsidRPr="00ED0E0F" w:rsidRDefault="00D4428E" w:rsidP="00D4428E"/>
    <w:p w14:paraId="75B0596F" w14:textId="77777777" w:rsidR="00D4428E" w:rsidRPr="00ED0E0F" w:rsidRDefault="00D4428E" w:rsidP="00D4428E"/>
    <w:p w14:paraId="0963E53F" w14:textId="77777777" w:rsidR="00D4428E" w:rsidRPr="00ED0E0F" w:rsidRDefault="00D4428E" w:rsidP="00D4428E"/>
    <w:p w14:paraId="585E6758" w14:textId="77777777" w:rsidR="00D4428E" w:rsidRPr="00ED0E0F" w:rsidRDefault="00D4428E" w:rsidP="00D4428E"/>
    <w:p w14:paraId="38AF836B" w14:textId="77777777" w:rsidR="00D4428E" w:rsidRPr="00ED0E0F" w:rsidRDefault="00D4428E" w:rsidP="00D4428E"/>
    <w:p w14:paraId="405181A7" w14:textId="77777777" w:rsidR="00D4428E" w:rsidRPr="00ED0E0F" w:rsidRDefault="00D4428E" w:rsidP="00D4428E"/>
    <w:p w14:paraId="11E7BF15" w14:textId="77777777" w:rsidR="00D4428E" w:rsidRPr="00ED0E0F" w:rsidRDefault="00D4428E" w:rsidP="00D4428E"/>
    <w:p w14:paraId="029A5330" w14:textId="77777777" w:rsidR="00D4428E" w:rsidRPr="00ED0E0F" w:rsidRDefault="00D4428E" w:rsidP="00D4428E"/>
    <w:p w14:paraId="757601A5" w14:textId="77777777" w:rsidR="00D4428E" w:rsidRPr="00ED0E0F" w:rsidRDefault="00D4428E" w:rsidP="00D4428E"/>
    <w:p w14:paraId="4B2A1366" w14:textId="77777777" w:rsidR="00D4428E" w:rsidRPr="00ED0E0F" w:rsidRDefault="00D4428E" w:rsidP="00D4428E"/>
    <w:p w14:paraId="28371596" w14:textId="77777777" w:rsidR="00D4428E" w:rsidRPr="00ED0E0F" w:rsidRDefault="00D4428E" w:rsidP="00D4428E"/>
    <w:p w14:paraId="6443D3B0" w14:textId="77777777" w:rsidR="00D4428E" w:rsidRPr="00ED0E0F" w:rsidRDefault="00D4428E" w:rsidP="00D4428E"/>
    <w:p w14:paraId="191CE99F" w14:textId="77777777" w:rsidR="00D4428E" w:rsidRPr="00ED0E0F" w:rsidRDefault="00D4428E" w:rsidP="00D4428E"/>
    <w:p w14:paraId="053B34B5" w14:textId="77777777" w:rsidR="00D4428E" w:rsidRPr="00ED0E0F" w:rsidRDefault="00D4428E" w:rsidP="00D4428E">
      <w:pPr>
        <w:rPr>
          <w:b/>
          <w:sz w:val="28"/>
          <w:szCs w:val="28"/>
        </w:rPr>
      </w:pPr>
    </w:p>
    <w:p w14:paraId="4B61C338" w14:textId="77777777" w:rsidR="00D4428E" w:rsidRPr="00ED0E0F" w:rsidRDefault="00D4428E" w:rsidP="00D4428E">
      <w:pPr>
        <w:rPr>
          <w:b/>
          <w:sz w:val="28"/>
          <w:szCs w:val="28"/>
        </w:rPr>
      </w:pPr>
      <w:r w:rsidRPr="00ED0E0F">
        <w:rPr>
          <w:b/>
          <w:sz w:val="28"/>
          <w:szCs w:val="28"/>
        </w:rPr>
        <w:t>Employment-Industries</w:t>
      </w:r>
    </w:p>
    <w:p w14:paraId="008B0F6B" w14:textId="77777777" w:rsidR="00D4428E" w:rsidRPr="00ED0E0F" w:rsidRDefault="00D4428E" w:rsidP="00D4428E"/>
    <w:p w14:paraId="71DB27B4" w14:textId="77777777" w:rsidR="00D4428E" w:rsidRPr="00ED0E0F" w:rsidRDefault="00D4428E" w:rsidP="00D4428E"/>
    <w:p w14:paraId="7F8F0831" w14:textId="77777777" w:rsidR="00D4428E" w:rsidRPr="00ED0E0F" w:rsidRDefault="00D4428E" w:rsidP="00D4428E">
      <w:r w:rsidRPr="00ED0E0F">
        <w:rPr>
          <w:noProof/>
        </w:rPr>
        <w:drawing>
          <wp:inline distT="0" distB="0" distL="0" distR="0" wp14:anchorId="0482F91E" wp14:editId="2F9BA37B">
            <wp:extent cx="5080635" cy="4800600"/>
            <wp:effectExtent l="0" t="0" r="24765" b="2540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3A4972" w14:textId="77777777" w:rsidR="00D4428E" w:rsidRPr="00ED0E0F" w:rsidRDefault="00D4428E" w:rsidP="00D4428E"/>
    <w:p w14:paraId="302067D1" w14:textId="77777777" w:rsidR="00D4428E" w:rsidRPr="00ED0E0F" w:rsidRDefault="00D4428E" w:rsidP="00D4428E">
      <w:r w:rsidRPr="00ED0E0F">
        <w:t>Top Industries by Employment:</w:t>
      </w:r>
    </w:p>
    <w:p w14:paraId="663B88C0" w14:textId="77777777" w:rsidR="00D4428E" w:rsidRPr="00ED0E0F" w:rsidRDefault="00D4428E" w:rsidP="00D4428E">
      <w:pPr>
        <w:pStyle w:val="ListParagraph"/>
        <w:numPr>
          <w:ilvl w:val="0"/>
          <w:numId w:val="1"/>
        </w:numPr>
      </w:pPr>
      <w:r w:rsidRPr="00ED0E0F">
        <w:t>Education services, and health care, and social assistance (1548) (56%)</w:t>
      </w:r>
    </w:p>
    <w:p w14:paraId="14FA2710" w14:textId="77777777" w:rsidR="00D4428E" w:rsidRPr="00ED0E0F" w:rsidRDefault="00D4428E" w:rsidP="00D4428E">
      <w:pPr>
        <w:pStyle w:val="ListParagraph"/>
        <w:numPr>
          <w:ilvl w:val="0"/>
          <w:numId w:val="1"/>
        </w:numPr>
      </w:pPr>
      <w:r w:rsidRPr="00ED0E0F">
        <w:t>Retail trade (323) (12%)</w:t>
      </w:r>
    </w:p>
    <w:p w14:paraId="5BB94736" w14:textId="77777777" w:rsidR="00D4428E" w:rsidRPr="00ED0E0F" w:rsidRDefault="00D4428E" w:rsidP="00D4428E">
      <w:pPr>
        <w:pStyle w:val="ListParagraph"/>
        <w:numPr>
          <w:ilvl w:val="0"/>
          <w:numId w:val="1"/>
        </w:numPr>
      </w:pPr>
      <w:r w:rsidRPr="00ED0E0F">
        <w:t>Manufacturing (218) (8%)</w:t>
      </w:r>
    </w:p>
    <w:p w14:paraId="6DEDB782" w14:textId="77777777" w:rsidR="00D4428E" w:rsidRPr="00ED0E0F" w:rsidRDefault="00D4428E" w:rsidP="00D4428E">
      <w:pPr>
        <w:pStyle w:val="ListParagraph"/>
      </w:pPr>
    </w:p>
    <w:p w14:paraId="53A5EEB6" w14:textId="77777777" w:rsidR="00D4428E" w:rsidRPr="00ED0E0F" w:rsidRDefault="00D4428E" w:rsidP="00D4428E"/>
    <w:p w14:paraId="1FC398F5" w14:textId="77777777" w:rsidR="00D4428E" w:rsidRPr="00ED0E0F" w:rsidRDefault="00D4428E" w:rsidP="00D4428E">
      <w:r w:rsidRPr="00ED0E0F">
        <w:rPr>
          <w:i/>
        </w:rPr>
        <w:t>Source: U.S Census Bureau- ACS 5-year Summary</w:t>
      </w:r>
    </w:p>
    <w:p w14:paraId="2DCFA481" w14:textId="77777777" w:rsidR="00D4428E" w:rsidRPr="00ED0E0F" w:rsidRDefault="00D4428E" w:rsidP="00D4428E"/>
    <w:p w14:paraId="11E6B6DE" w14:textId="77777777" w:rsidR="00D4428E" w:rsidRPr="00ED0E0F" w:rsidRDefault="00D4428E" w:rsidP="00D4428E">
      <w:pPr>
        <w:rPr>
          <w:b/>
          <w:sz w:val="28"/>
          <w:szCs w:val="28"/>
        </w:rPr>
      </w:pPr>
    </w:p>
    <w:p w14:paraId="5B02197F" w14:textId="77777777" w:rsidR="00D4428E" w:rsidRPr="00ED0E0F" w:rsidRDefault="00D4428E" w:rsidP="00D4428E"/>
    <w:p w14:paraId="7A98F579" w14:textId="77777777" w:rsidR="00D4428E" w:rsidRPr="00ED0E0F" w:rsidRDefault="00D4428E" w:rsidP="00D4428E"/>
    <w:p w14:paraId="590E2914" w14:textId="77777777" w:rsidR="00D4428E" w:rsidRPr="00ED0E0F" w:rsidRDefault="00D4428E" w:rsidP="00D4428E"/>
    <w:p w14:paraId="0F4AC381" w14:textId="77777777" w:rsidR="00D4428E" w:rsidRPr="00ED0E0F" w:rsidRDefault="00D4428E" w:rsidP="00D4428E"/>
    <w:p w14:paraId="423ADA2B" w14:textId="77777777" w:rsidR="00D4428E" w:rsidRPr="00ED0E0F" w:rsidRDefault="00D4428E" w:rsidP="00D4428E">
      <w:pPr>
        <w:rPr>
          <w:b/>
          <w:sz w:val="28"/>
          <w:szCs w:val="28"/>
        </w:rPr>
      </w:pPr>
      <w:r w:rsidRPr="00ED0E0F">
        <w:rPr>
          <w:b/>
          <w:sz w:val="28"/>
          <w:szCs w:val="28"/>
        </w:rPr>
        <w:t>Housing- Occupancy</w:t>
      </w:r>
    </w:p>
    <w:p w14:paraId="66D08733" w14:textId="77777777" w:rsidR="00D4428E" w:rsidRPr="00ED0E0F" w:rsidRDefault="00D4428E" w:rsidP="00D4428E"/>
    <w:p w14:paraId="68DF98B9" w14:textId="77777777" w:rsidR="00D4428E" w:rsidRPr="00ED0E0F" w:rsidRDefault="00D4428E" w:rsidP="00D4428E"/>
    <w:p w14:paraId="64F2F24E" w14:textId="77777777" w:rsidR="00D4428E" w:rsidRPr="00ED0E0F" w:rsidRDefault="00D4428E" w:rsidP="00D4428E">
      <w:r w:rsidRPr="00ED0E0F">
        <w:rPr>
          <w:noProof/>
        </w:rPr>
        <w:drawing>
          <wp:inline distT="0" distB="0" distL="0" distR="0" wp14:anchorId="00DB6647" wp14:editId="7BEF54EE">
            <wp:extent cx="5309235" cy="2743200"/>
            <wp:effectExtent l="0" t="0" r="24765" b="2540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ED0E0F">
        <w:rPr>
          <w:noProof/>
        </w:rPr>
        <w:drawing>
          <wp:inline distT="0" distB="0" distL="0" distR="0" wp14:anchorId="279A35EF" wp14:editId="6213E06C">
            <wp:extent cx="5372100" cy="3625215"/>
            <wp:effectExtent l="0" t="0" r="12700" b="323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469943" w14:textId="77777777" w:rsidR="00D4428E" w:rsidRPr="00ED0E0F" w:rsidRDefault="00D4428E" w:rsidP="00D4428E"/>
    <w:p w14:paraId="4A729401" w14:textId="4E8ACC9E" w:rsidR="00D4428E" w:rsidRPr="00ED0E0F" w:rsidRDefault="00484395" w:rsidP="00D4428E">
      <w:r w:rsidRPr="00ED0E0F">
        <w:t xml:space="preserve">The majority of </w:t>
      </w:r>
      <w:r w:rsidR="00D4428E" w:rsidRPr="00ED0E0F">
        <w:t xml:space="preserve">housing units in Morris City are occupied housing units, at 90% (1986). Of the 10% of housing units that are vacant, 38% (81) are for rent, and17%  (37) are for sale only and 10% (22) are for seasonal recreational, or occasional use.   </w:t>
      </w:r>
    </w:p>
    <w:p w14:paraId="28A4BD16" w14:textId="77777777" w:rsidR="00D4428E" w:rsidRPr="00ED0E0F" w:rsidRDefault="00D4428E" w:rsidP="00D4428E">
      <w:r w:rsidRPr="00ED0E0F">
        <w:rPr>
          <w:i/>
        </w:rPr>
        <w:t>Source: 2010 U.S Census Bureau- Decennial ACS 5-year Summary</w:t>
      </w:r>
    </w:p>
    <w:p w14:paraId="52F6BCD9" w14:textId="77777777" w:rsidR="00D4428E" w:rsidRPr="00ED0E0F" w:rsidRDefault="00D4428E" w:rsidP="00D4428E">
      <w:pPr>
        <w:rPr>
          <w:b/>
          <w:sz w:val="28"/>
          <w:szCs w:val="28"/>
        </w:rPr>
      </w:pPr>
    </w:p>
    <w:p w14:paraId="5EB7B216" w14:textId="77777777" w:rsidR="00D4428E" w:rsidRPr="00ED0E0F" w:rsidRDefault="00D4428E" w:rsidP="00D4428E">
      <w:pPr>
        <w:rPr>
          <w:b/>
          <w:sz w:val="28"/>
          <w:szCs w:val="28"/>
        </w:rPr>
      </w:pPr>
      <w:r w:rsidRPr="00ED0E0F">
        <w:rPr>
          <w:b/>
          <w:sz w:val="28"/>
          <w:szCs w:val="28"/>
        </w:rPr>
        <w:t>Housing- Housing Values</w:t>
      </w:r>
    </w:p>
    <w:p w14:paraId="4837ED5A" w14:textId="77777777" w:rsidR="00D4428E" w:rsidRPr="00ED0E0F" w:rsidRDefault="00D4428E" w:rsidP="00D4428E"/>
    <w:p w14:paraId="24997D19" w14:textId="77777777" w:rsidR="00D4428E" w:rsidRPr="00ED0E0F" w:rsidRDefault="00D4428E" w:rsidP="00D4428E">
      <w:r w:rsidRPr="00ED0E0F">
        <w:rPr>
          <w:noProof/>
        </w:rPr>
        <w:drawing>
          <wp:inline distT="0" distB="0" distL="0" distR="0" wp14:anchorId="2F957DD4" wp14:editId="15090BC1">
            <wp:extent cx="4572000" cy="2743200"/>
            <wp:effectExtent l="0" t="0" r="25400" b="254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60F509" w14:textId="77777777" w:rsidR="00D4428E" w:rsidRPr="00ED0E0F" w:rsidRDefault="00D4428E" w:rsidP="00D4428E"/>
    <w:p w14:paraId="35A522A7" w14:textId="77777777" w:rsidR="00D4428E" w:rsidRPr="00ED0E0F" w:rsidRDefault="00D4428E" w:rsidP="00D4428E">
      <w:r w:rsidRPr="00ED0E0F">
        <w:t>Morris has the highest median housing value of all the cities in Stevens County for both 2000 and 2010. The housing value for Morris doubles that of Alberta in 2010. With a percent change of 43.8%, Morris has the highest increase in housing value from 2000 to 2010.</w:t>
      </w:r>
    </w:p>
    <w:p w14:paraId="1B2F25FB" w14:textId="77777777" w:rsidR="00D4428E" w:rsidRPr="00ED0E0F" w:rsidRDefault="00D4428E" w:rsidP="00D4428E"/>
    <w:p w14:paraId="7AD0C255" w14:textId="77777777" w:rsidR="00D4428E" w:rsidRPr="00ED0E0F" w:rsidRDefault="00D4428E" w:rsidP="00D4428E">
      <w:r w:rsidRPr="00ED0E0F">
        <w:rPr>
          <w:i/>
        </w:rPr>
        <w:t>Source: 2000 and 2010 U.S Census Bureau- Decennial Census and ACS 5-year Summary</w:t>
      </w:r>
    </w:p>
    <w:p w14:paraId="35BC20E7" w14:textId="77777777" w:rsidR="00D4428E" w:rsidRPr="00ED0E0F" w:rsidRDefault="00D4428E" w:rsidP="00D4428E"/>
    <w:p w14:paraId="0D4718A9" w14:textId="77777777" w:rsidR="00D4428E" w:rsidRPr="00ED0E0F" w:rsidRDefault="00D4428E" w:rsidP="00D4428E">
      <w:pPr>
        <w:rPr>
          <w:b/>
          <w:sz w:val="28"/>
          <w:szCs w:val="28"/>
        </w:rPr>
      </w:pPr>
    </w:p>
    <w:p w14:paraId="7B89BD98" w14:textId="77777777" w:rsidR="00D4428E" w:rsidRPr="00ED0E0F" w:rsidRDefault="00D4428E" w:rsidP="00D4428E"/>
    <w:p w14:paraId="6E3B64E1" w14:textId="77777777" w:rsidR="00D4428E" w:rsidRPr="00ED0E0F" w:rsidRDefault="00D4428E" w:rsidP="00D4428E"/>
    <w:p w14:paraId="779A04E5" w14:textId="77777777" w:rsidR="00D4428E" w:rsidRPr="00ED0E0F" w:rsidRDefault="00D4428E" w:rsidP="00D4428E"/>
    <w:p w14:paraId="6ABABA74" w14:textId="77777777" w:rsidR="00D4428E" w:rsidRPr="00ED0E0F" w:rsidRDefault="00D4428E" w:rsidP="00D4428E"/>
    <w:p w14:paraId="188FD853" w14:textId="77777777" w:rsidR="00D4428E" w:rsidRPr="00ED0E0F" w:rsidRDefault="00D4428E" w:rsidP="00D4428E"/>
    <w:p w14:paraId="616A9602" w14:textId="77777777" w:rsidR="00D4428E" w:rsidRPr="00ED0E0F" w:rsidRDefault="00D4428E" w:rsidP="00D4428E"/>
    <w:p w14:paraId="5109AADC" w14:textId="77777777" w:rsidR="00D4428E" w:rsidRPr="00ED0E0F" w:rsidRDefault="00D4428E" w:rsidP="00D4428E"/>
    <w:p w14:paraId="7AEC957B" w14:textId="77777777" w:rsidR="00D4428E" w:rsidRPr="00ED0E0F" w:rsidRDefault="00D4428E" w:rsidP="00D4428E"/>
    <w:p w14:paraId="612F8E89" w14:textId="77777777" w:rsidR="00D4428E" w:rsidRPr="00ED0E0F" w:rsidRDefault="00D4428E" w:rsidP="00D4428E"/>
    <w:p w14:paraId="787C0B89" w14:textId="77777777" w:rsidR="00D4428E" w:rsidRPr="00ED0E0F" w:rsidRDefault="00D4428E" w:rsidP="00D4428E"/>
    <w:p w14:paraId="49D38AF1" w14:textId="77777777" w:rsidR="00D4428E" w:rsidRPr="00ED0E0F" w:rsidRDefault="00D4428E" w:rsidP="00D4428E"/>
    <w:p w14:paraId="53862946" w14:textId="77777777" w:rsidR="00D4428E" w:rsidRPr="00ED0E0F" w:rsidRDefault="00D4428E" w:rsidP="00D4428E"/>
    <w:p w14:paraId="5CEA4795" w14:textId="77777777" w:rsidR="00D4428E" w:rsidRPr="00ED0E0F" w:rsidRDefault="00D4428E" w:rsidP="00D4428E"/>
    <w:p w14:paraId="22C90136" w14:textId="77777777" w:rsidR="00D4428E" w:rsidRPr="00ED0E0F" w:rsidRDefault="00D4428E" w:rsidP="00D4428E"/>
    <w:p w14:paraId="1440458B" w14:textId="77777777" w:rsidR="00D4428E" w:rsidRPr="00ED0E0F" w:rsidRDefault="00D4428E" w:rsidP="00D4428E"/>
    <w:p w14:paraId="00B89F92" w14:textId="77777777" w:rsidR="00D4428E" w:rsidRPr="00ED0E0F" w:rsidRDefault="00D4428E" w:rsidP="00D4428E"/>
    <w:p w14:paraId="45CE4EC0" w14:textId="77777777" w:rsidR="00D4428E" w:rsidRPr="00ED0E0F" w:rsidRDefault="00D4428E" w:rsidP="00D4428E"/>
    <w:p w14:paraId="16AFE3C3" w14:textId="77777777" w:rsidR="00D4428E" w:rsidRPr="00ED0E0F" w:rsidRDefault="00D4428E" w:rsidP="00D4428E"/>
    <w:p w14:paraId="74C15DC5" w14:textId="77777777" w:rsidR="00D4428E" w:rsidRPr="00ED0E0F" w:rsidRDefault="00D4428E" w:rsidP="00D4428E">
      <w:pPr>
        <w:rPr>
          <w:b/>
          <w:sz w:val="28"/>
          <w:szCs w:val="28"/>
        </w:rPr>
      </w:pPr>
    </w:p>
    <w:p w14:paraId="393735AB" w14:textId="77777777" w:rsidR="00D4428E" w:rsidRPr="00ED0E0F" w:rsidRDefault="00D4428E" w:rsidP="00D4428E">
      <w:pPr>
        <w:rPr>
          <w:b/>
          <w:sz w:val="28"/>
          <w:szCs w:val="28"/>
        </w:rPr>
      </w:pPr>
      <w:r w:rsidRPr="00ED0E0F">
        <w:rPr>
          <w:b/>
          <w:sz w:val="28"/>
          <w:szCs w:val="28"/>
        </w:rPr>
        <w:t>Housing- Age of Housing Stock</w:t>
      </w:r>
    </w:p>
    <w:p w14:paraId="1612B891" w14:textId="77777777" w:rsidR="00D4428E" w:rsidRPr="00ED0E0F" w:rsidRDefault="00D4428E" w:rsidP="00D4428E"/>
    <w:p w14:paraId="673F452D" w14:textId="77777777" w:rsidR="00D4428E" w:rsidRPr="00ED0E0F" w:rsidRDefault="00D4428E" w:rsidP="00D4428E">
      <w:r w:rsidRPr="00ED0E0F">
        <w:rPr>
          <w:noProof/>
        </w:rPr>
        <w:drawing>
          <wp:inline distT="0" distB="0" distL="0" distR="0" wp14:anchorId="1714A782" wp14:editId="0E6AE924">
            <wp:extent cx="4852035" cy="2725420"/>
            <wp:effectExtent l="0" t="0" r="24765" b="1778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14DB986" w14:textId="77777777" w:rsidR="00D4428E" w:rsidRPr="00ED0E0F" w:rsidRDefault="00D4428E" w:rsidP="00D4428E">
      <w:r w:rsidRPr="00ED0E0F">
        <w:rPr>
          <w:noProof/>
        </w:rPr>
        <w:drawing>
          <wp:inline distT="0" distB="0" distL="0" distR="0" wp14:anchorId="367EC56C" wp14:editId="386894AE">
            <wp:extent cx="4852035" cy="3406140"/>
            <wp:effectExtent l="0" t="0" r="24765" b="2286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DD30BEB" w14:textId="77777777" w:rsidR="00D4428E" w:rsidRPr="00ED0E0F" w:rsidRDefault="00D4428E" w:rsidP="00D4428E"/>
    <w:p w14:paraId="447CFFBA" w14:textId="77777777" w:rsidR="00D4428E" w:rsidRPr="00ED0E0F" w:rsidRDefault="00D4428E" w:rsidP="00D4428E"/>
    <w:p w14:paraId="0A6B613F" w14:textId="77777777" w:rsidR="00D4428E" w:rsidRPr="00ED0E0F" w:rsidRDefault="00D4428E" w:rsidP="00D4428E">
      <w:r w:rsidRPr="00ED0E0F">
        <w:t xml:space="preserve">Morris has approximately 50% (2102) of the housing stock in Stevens County.  Within the city, the largest share of homes, 23.1%, were built in 1939 or earlier. </w:t>
      </w:r>
    </w:p>
    <w:p w14:paraId="547E6170" w14:textId="77777777" w:rsidR="00D4428E" w:rsidRPr="00ED0E0F" w:rsidRDefault="00D4428E" w:rsidP="00D4428E"/>
    <w:p w14:paraId="0F6CDE55" w14:textId="77777777" w:rsidR="00D4428E" w:rsidRPr="00ED0E0F" w:rsidRDefault="00D4428E" w:rsidP="00D4428E">
      <w:pPr>
        <w:rPr>
          <w:i/>
        </w:rPr>
      </w:pPr>
      <w:r w:rsidRPr="00ED0E0F">
        <w:rPr>
          <w:i/>
        </w:rPr>
        <w:t xml:space="preserve">Source: 2000 and 2010 U.S Census Bureau- Decennial Census and ACS 5-year Summary </w:t>
      </w:r>
    </w:p>
    <w:p w14:paraId="5E9A11C8" w14:textId="77777777" w:rsidR="00D4428E" w:rsidRPr="00ED0E0F" w:rsidRDefault="00D4428E" w:rsidP="00D4428E">
      <w:pPr>
        <w:rPr>
          <w:i/>
        </w:rPr>
      </w:pPr>
    </w:p>
    <w:p w14:paraId="57A91A9E" w14:textId="77777777" w:rsidR="00D4428E" w:rsidRPr="00ED0E0F" w:rsidRDefault="00D4428E" w:rsidP="00D4428E">
      <w:pPr>
        <w:rPr>
          <w:i/>
        </w:rPr>
      </w:pPr>
    </w:p>
    <w:p w14:paraId="0D6F0DFF" w14:textId="77777777" w:rsidR="00D4428E" w:rsidRPr="00ED0E0F" w:rsidRDefault="00D4428E" w:rsidP="00D4428E">
      <w:pPr>
        <w:rPr>
          <w:i/>
        </w:rPr>
      </w:pPr>
    </w:p>
    <w:p w14:paraId="7878A701" w14:textId="77777777" w:rsidR="00D4428E" w:rsidRPr="00ED0E0F" w:rsidRDefault="00D4428E" w:rsidP="00D4428E">
      <w:r w:rsidRPr="00ED0E0F">
        <w:rPr>
          <w:b/>
          <w:sz w:val="28"/>
          <w:szCs w:val="28"/>
        </w:rPr>
        <w:t>Education</w:t>
      </w:r>
    </w:p>
    <w:p w14:paraId="47ABDA7B" w14:textId="77777777" w:rsidR="00D4428E" w:rsidRPr="00ED0E0F" w:rsidRDefault="00D4428E" w:rsidP="00D4428E"/>
    <w:p w14:paraId="26E98A1C" w14:textId="77777777" w:rsidR="00D4428E" w:rsidRPr="00ED0E0F" w:rsidRDefault="00D4428E" w:rsidP="00D4428E">
      <w:r w:rsidRPr="00ED0E0F">
        <w:rPr>
          <w:noProof/>
        </w:rPr>
        <w:drawing>
          <wp:inline distT="0" distB="0" distL="0" distR="0" wp14:anchorId="1F1CA5E3" wp14:editId="2914C4AA">
            <wp:extent cx="4572000" cy="2743200"/>
            <wp:effectExtent l="0" t="0" r="25400" b="254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8641D73" w14:textId="77777777" w:rsidR="00D4428E" w:rsidRPr="00ED0E0F" w:rsidRDefault="00D4428E" w:rsidP="00D4428E"/>
    <w:p w14:paraId="63CAB757" w14:textId="77777777" w:rsidR="00D4428E" w:rsidRPr="00ED0E0F" w:rsidRDefault="00D4428E" w:rsidP="00D4428E">
      <w:r w:rsidRPr="00ED0E0F">
        <w:t>39% of Morris residents are high school graduates, 19% have attended some form of secondary education, 14% have a bachelor degree, and 11% have a graduate or professional degree.</w:t>
      </w:r>
    </w:p>
    <w:p w14:paraId="72E87A64" w14:textId="77777777" w:rsidR="00D4428E" w:rsidRPr="00ED0E0F" w:rsidRDefault="00D4428E" w:rsidP="00D4428E"/>
    <w:p w14:paraId="5BAC3CD9" w14:textId="77777777" w:rsidR="00D4428E" w:rsidRPr="00ED0E0F" w:rsidRDefault="00D4428E" w:rsidP="00D4428E">
      <w:r w:rsidRPr="00ED0E0F">
        <w:rPr>
          <w:i/>
        </w:rPr>
        <w:t>Source: 2010 U.S Census Bureau- ACS 5-year Summary</w:t>
      </w:r>
    </w:p>
    <w:p w14:paraId="79A727AC" w14:textId="77777777" w:rsidR="00D4428E" w:rsidRPr="00ED0E0F" w:rsidRDefault="00D4428E" w:rsidP="00D4428E"/>
    <w:p w14:paraId="1CA9DF55" w14:textId="77777777" w:rsidR="00D4428E" w:rsidRPr="00ED0E0F" w:rsidRDefault="00D4428E" w:rsidP="00D4428E">
      <w:pPr>
        <w:rPr>
          <w:b/>
          <w:sz w:val="28"/>
          <w:szCs w:val="28"/>
        </w:rPr>
      </w:pPr>
    </w:p>
    <w:p w14:paraId="3BE97E72" w14:textId="77777777" w:rsidR="00D4428E" w:rsidRPr="00ED0E0F" w:rsidRDefault="00D4428E" w:rsidP="00D4428E"/>
    <w:p w14:paraId="07A4A898" w14:textId="77777777" w:rsidR="00D4428E" w:rsidRPr="00ED0E0F" w:rsidRDefault="00D4428E" w:rsidP="00D4428E"/>
    <w:p w14:paraId="52E48624" w14:textId="77777777" w:rsidR="00D4428E" w:rsidRPr="00ED0E0F" w:rsidRDefault="00D4428E" w:rsidP="00D4428E"/>
    <w:p w14:paraId="23FAF264" w14:textId="77777777" w:rsidR="00D4428E" w:rsidRPr="00ED0E0F" w:rsidRDefault="00D4428E" w:rsidP="00D4428E"/>
    <w:p w14:paraId="6D319B9A" w14:textId="77777777" w:rsidR="00D4428E" w:rsidRPr="00ED0E0F" w:rsidRDefault="00D4428E" w:rsidP="00D4428E"/>
    <w:p w14:paraId="232B4268" w14:textId="77777777" w:rsidR="00D4428E" w:rsidRPr="00ED0E0F" w:rsidRDefault="00D4428E" w:rsidP="00D4428E"/>
    <w:p w14:paraId="4D9F5324" w14:textId="77777777" w:rsidR="00D4428E" w:rsidRPr="00ED0E0F" w:rsidRDefault="00D4428E" w:rsidP="00D4428E"/>
    <w:p w14:paraId="7445713A" w14:textId="77777777" w:rsidR="00D4428E" w:rsidRPr="00ED0E0F" w:rsidRDefault="00D4428E" w:rsidP="00D4428E"/>
    <w:p w14:paraId="2715C684" w14:textId="77777777" w:rsidR="00D4428E" w:rsidRPr="00ED0E0F" w:rsidRDefault="00D4428E" w:rsidP="00D4428E"/>
    <w:p w14:paraId="096D86F4" w14:textId="77777777" w:rsidR="00D4428E" w:rsidRPr="00ED0E0F" w:rsidRDefault="00D4428E" w:rsidP="00D4428E"/>
    <w:p w14:paraId="49DEFFAE" w14:textId="77777777" w:rsidR="00D4428E" w:rsidRPr="00ED0E0F" w:rsidRDefault="00D4428E" w:rsidP="00D4428E"/>
    <w:p w14:paraId="0B03832A" w14:textId="77777777" w:rsidR="00D4428E" w:rsidRPr="00ED0E0F" w:rsidRDefault="00D4428E" w:rsidP="00D4428E"/>
    <w:p w14:paraId="20CBAAA4" w14:textId="77777777" w:rsidR="00D4428E" w:rsidRPr="00ED0E0F" w:rsidRDefault="00D4428E" w:rsidP="00D4428E"/>
    <w:p w14:paraId="405E1AE3" w14:textId="77777777" w:rsidR="00D4428E" w:rsidRPr="00ED0E0F" w:rsidRDefault="00D4428E" w:rsidP="00D4428E"/>
    <w:p w14:paraId="753A50FA" w14:textId="77777777" w:rsidR="00D4428E" w:rsidRPr="00ED0E0F" w:rsidRDefault="00D4428E" w:rsidP="00D4428E"/>
    <w:p w14:paraId="594170D8" w14:textId="77777777" w:rsidR="00D4428E" w:rsidRPr="00ED0E0F" w:rsidRDefault="00D4428E" w:rsidP="00D4428E"/>
    <w:p w14:paraId="3E92E935" w14:textId="77777777" w:rsidR="00D4428E" w:rsidRPr="00ED0E0F" w:rsidRDefault="00D4428E" w:rsidP="00D4428E"/>
    <w:p w14:paraId="25096ED2" w14:textId="77777777" w:rsidR="00D4428E" w:rsidRPr="00ED0E0F" w:rsidRDefault="00D4428E" w:rsidP="00D4428E"/>
    <w:p w14:paraId="75ED3C96" w14:textId="77777777" w:rsidR="00D4428E" w:rsidRPr="00ED0E0F" w:rsidRDefault="00D4428E" w:rsidP="00D4428E"/>
    <w:p w14:paraId="293A3F94" w14:textId="77777777" w:rsidR="00D4428E" w:rsidRPr="00ED0E0F" w:rsidRDefault="00D4428E" w:rsidP="00D4428E">
      <w:pPr>
        <w:rPr>
          <w:b/>
          <w:sz w:val="28"/>
          <w:szCs w:val="28"/>
        </w:rPr>
      </w:pPr>
    </w:p>
    <w:p w14:paraId="3AA5D89F" w14:textId="77777777" w:rsidR="00D4428E" w:rsidRPr="00ED0E0F" w:rsidRDefault="00D4428E" w:rsidP="00D4428E">
      <w:pPr>
        <w:rPr>
          <w:b/>
          <w:sz w:val="28"/>
          <w:szCs w:val="28"/>
        </w:rPr>
      </w:pPr>
      <w:r w:rsidRPr="00ED0E0F">
        <w:rPr>
          <w:b/>
          <w:sz w:val="28"/>
          <w:szCs w:val="28"/>
        </w:rPr>
        <w:t>Appendix A</w:t>
      </w:r>
    </w:p>
    <w:p w14:paraId="07742D06" w14:textId="77777777" w:rsidR="00D4428E" w:rsidRPr="00ED0E0F" w:rsidRDefault="00D4428E" w:rsidP="00D4428E">
      <w:pPr>
        <w:rPr>
          <w:b/>
          <w:sz w:val="28"/>
          <w:szCs w:val="28"/>
        </w:rPr>
      </w:pPr>
      <w:r w:rsidRPr="00ED0E0F">
        <w:rPr>
          <w:b/>
          <w:sz w:val="28"/>
          <w:szCs w:val="28"/>
        </w:rPr>
        <w:t xml:space="preserve">Data Tables </w:t>
      </w:r>
    </w:p>
    <w:p w14:paraId="0EEFE9D1" w14:textId="77777777" w:rsidR="00D4428E" w:rsidRPr="00ED0E0F" w:rsidRDefault="00D4428E" w:rsidP="00D4428E">
      <w:pPr>
        <w:rPr>
          <w:b/>
        </w:rPr>
      </w:pPr>
    </w:p>
    <w:p w14:paraId="24E9B7F7" w14:textId="77777777" w:rsidR="00D4428E" w:rsidRPr="00ED0E0F" w:rsidRDefault="00D4428E" w:rsidP="00D4428E">
      <w:pPr>
        <w:rPr>
          <w:b/>
        </w:rPr>
      </w:pPr>
      <w:r w:rsidRPr="00ED0E0F">
        <w:rPr>
          <w:b/>
        </w:rPr>
        <w:t>Table 1</w:t>
      </w:r>
      <w:r w:rsidRPr="00ED0E0F">
        <w:rPr>
          <w:b/>
        </w:rPr>
        <w:tab/>
        <w:t xml:space="preserve">                                                            Table 2: Population in Morris City </w:t>
      </w:r>
    </w:p>
    <w:p w14:paraId="35434BAF" w14:textId="77777777" w:rsidR="00D4428E" w:rsidRPr="00ED0E0F" w:rsidRDefault="00D4428E" w:rsidP="00D4428E">
      <w:pPr>
        <w:tabs>
          <w:tab w:val="left" w:pos="6960"/>
        </w:tabs>
      </w:pPr>
    </w:p>
    <w:tbl>
      <w:tblPr>
        <w:tblW w:w="4044" w:type="dxa"/>
        <w:tblInd w:w="93" w:type="dxa"/>
        <w:tblLook w:val="04A0" w:firstRow="1" w:lastRow="0" w:firstColumn="1" w:lastColumn="0" w:noHBand="0" w:noVBand="1"/>
      </w:tblPr>
      <w:tblGrid>
        <w:gridCol w:w="1444"/>
        <w:gridCol w:w="1300"/>
        <w:gridCol w:w="1300"/>
      </w:tblGrid>
      <w:tr w:rsidR="00D4428E" w:rsidRPr="00ED0E0F" w14:paraId="4C24884C" w14:textId="77777777" w:rsidTr="003E4D50">
        <w:trPr>
          <w:trHeight w:val="300"/>
        </w:trPr>
        <w:tc>
          <w:tcPr>
            <w:tcW w:w="1444" w:type="dxa"/>
            <w:tcBorders>
              <w:top w:val="nil"/>
              <w:left w:val="nil"/>
              <w:bottom w:val="nil"/>
              <w:right w:val="nil"/>
            </w:tcBorders>
            <w:shd w:val="clear" w:color="auto" w:fill="auto"/>
            <w:noWrap/>
            <w:vAlign w:val="bottom"/>
            <w:hideMark/>
          </w:tcPr>
          <w:p w14:paraId="71BB40F4" w14:textId="77777777" w:rsidR="00D4428E" w:rsidRPr="00ED0E0F" w:rsidRDefault="00D4428E" w:rsidP="003E4D50">
            <w:pPr>
              <w:rPr>
                <w:rFonts w:eastAsia="Times New Roman"/>
                <w:color w:val="000000"/>
              </w:rPr>
            </w:pPr>
            <w:r w:rsidRPr="00ED0E0F">
              <w:rPr>
                <w:rFonts w:eastAsia="Times New Roman"/>
                <w:color w:val="000000"/>
              </w:rPr>
              <w:t>Locations</w:t>
            </w:r>
          </w:p>
        </w:tc>
        <w:tc>
          <w:tcPr>
            <w:tcW w:w="1300" w:type="dxa"/>
            <w:tcBorders>
              <w:top w:val="nil"/>
              <w:left w:val="nil"/>
              <w:bottom w:val="nil"/>
              <w:right w:val="nil"/>
            </w:tcBorders>
            <w:shd w:val="clear" w:color="auto" w:fill="auto"/>
            <w:noWrap/>
            <w:vAlign w:val="bottom"/>
            <w:hideMark/>
          </w:tcPr>
          <w:p w14:paraId="37B7BC50" w14:textId="77777777" w:rsidR="00D4428E" w:rsidRPr="00ED0E0F" w:rsidRDefault="00D4428E" w:rsidP="003E4D50">
            <w:pPr>
              <w:rPr>
                <w:rFonts w:eastAsia="Times New Roman"/>
                <w:color w:val="000000"/>
              </w:rPr>
            </w:pPr>
            <w:proofErr w:type="gramStart"/>
            <w:r w:rsidRPr="00ED0E0F">
              <w:rPr>
                <w:rFonts w:eastAsia="Times New Roman"/>
                <w:color w:val="000000"/>
              </w:rPr>
              <w:t>year</w:t>
            </w:r>
            <w:proofErr w:type="gramEnd"/>
            <w:r w:rsidRPr="00ED0E0F">
              <w:rPr>
                <w:rFonts w:eastAsia="Times New Roman"/>
                <w:color w:val="000000"/>
              </w:rPr>
              <w:t>: 2000</w:t>
            </w:r>
          </w:p>
        </w:tc>
        <w:tc>
          <w:tcPr>
            <w:tcW w:w="1300" w:type="dxa"/>
            <w:tcBorders>
              <w:top w:val="nil"/>
              <w:left w:val="nil"/>
              <w:bottom w:val="nil"/>
              <w:right w:val="nil"/>
            </w:tcBorders>
            <w:shd w:val="clear" w:color="auto" w:fill="auto"/>
            <w:noWrap/>
            <w:vAlign w:val="bottom"/>
            <w:hideMark/>
          </w:tcPr>
          <w:p w14:paraId="1EC023A7" w14:textId="77777777" w:rsidR="00D4428E" w:rsidRPr="00ED0E0F" w:rsidRDefault="00D4428E" w:rsidP="003E4D50">
            <w:pPr>
              <w:rPr>
                <w:rFonts w:eastAsia="Times New Roman"/>
                <w:color w:val="000000"/>
              </w:rPr>
            </w:pPr>
            <w:proofErr w:type="gramStart"/>
            <w:r w:rsidRPr="00ED0E0F">
              <w:rPr>
                <w:rFonts w:eastAsia="Times New Roman"/>
                <w:color w:val="000000"/>
              </w:rPr>
              <w:t>year</w:t>
            </w:r>
            <w:proofErr w:type="gramEnd"/>
            <w:r w:rsidRPr="00ED0E0F">
              <w:rPr>
                <w:rFonts w:eastAsia="Times New Roman"/>
                <w:color w:val="000000"/>
              </w:rPr>
              <w:t>: 2010</w:t>
            </w:r>
          </w:p>
        </w:tc>
      </w:tr>
      <w:tr w:rsidR="00D4428E" w:rsidRPr="00ED0E0F" w14:paraId="22DE85ED" w14:textId="77777777" w:rsidTr="003E4D50">
        <w:trPr>
          <w:trHeight w:val="300"/>
        </w:trPr>
        <w:tc>
          <w:tcPr>
            <w:tcW w:w="1444" w:type="dxa"/>
            <w:tcBorders>
              <w:top w:val="nil"/>
              <w:left w:val="nil"/>
              <w:bottom w:val="nil"/>
              <w:right w:val="nil"/>
            </w:tcBorders>
            <w:shd w:val="clear" w:color="auto" w:fill="auto"/>
            <w:noWrap/>
            <w:vAlign w:val="bottom"/>
            <w:hideMark/>
          </w:tcPr>
          <w:p w14:paraId="308DA227" w14:textId="77777777" w:rsidR="00D4428E" w:rsidRPr="00ED0E0F" w:rsidRDefault="00D4428E" w:rsidP="003E4D50">
            <w:pPr>
              <w:rPr>
                <w:rFonts w:eastAsia="Times New Roman"/>
                <w:color w:val="000000"/>
              </w:rPr>
            </w:pPr>
            <w:r w:rsidRPr="00ED0E0F">
              <w:rPr>
                <w:rFonts w:eastAsia="Times New Roman"/>
                <w:color w:val="000000"/>
              </w:rPr>
              <w:t>Steven County</w:t>
            </w:r>
          </w:p>
        </w:tc>
        <w:tc>
          <w:tcPr>
            <w:tcW w:w="1300" w:type="dxa"/>
            <w:tcBorders>
              <w:top w:val="nil"/>
              <w:left w:val="nil"/>
              <w:bottom w:val="nil"/>
              <w:right w:val="nil"/>
            </w:tcBorders>
            <w:shd w:val="clear" w:color="auto" w:fill="auto"/>
            <w:noWrap/>
            <w:vAlign w:val="bottom"/>
            <w:hideMark/>
          </w:tcPr>
          <w:p w14:paraId="44928424" w14:textId="77777777" w:rsidR="00D4428E" w:rsidRPr="00ED0E0F" w:rsidRDefault="00D4428E" w:rsidP="003E4D50">
            <w:pPr>
              <w:jc w:val="right"/>
              <w:rPr>
                <w:rFonts w:eastAsia="Times New Roman"/>
                <w:color w:val="000000"/>
              </w:rPr>
            </w:pPr>
            <w:r w:rsidRPr="00ED0E0F">
              <w:rPr>
                <w:rFonts w:eastAsia="Times New Roman"/>
                <w:color w:val="000000"/>
              </w:rPr>
              <w:t>10,053</w:t>
            </w:r>
          </w:p>
        </w:tc>
        <w:tc>
          <w:tcPr>
            <w:tcW w:w="1300" w:type="dxa"/>
            <w:tcBorders>
              <w:top w:val="nil"/>
              <w:left w:val="nil"/>
              <w:bottom w:val="nil"/>
              <w:right w:val="nil"/>
            </w:tcBorders>
            <w:shd w:val="clear" w:color="auto" w:fill="auto"/>
            <w:noWrap/>
            <w:vAlign w:val="bottom"/>
            <w:hideMark/>
          </w:tcPr>
          <w:p w14:paraId="43E427FA" w14:textId="77777777" w:rsidR="00D4428E" w:rsidRPr="00ED0E0F" w:rsidRDefault="00D4428E" w:rsidP="003E4D50">
            <w:pPr>
              <w:jc w:val="right"/>
              <w:rPr>
                <w:rFonts w:eastAsia="Times New Roman"/>
                <w:color w:val="000000"/>
              </w:rPr>
            </w:pPr>
            <w:r w:rsidRPr="00ED0E0F">
              <w:rPr>
                <w:rFonts w:eastAsia="Times New Roman"/>
                <w:color w:val="000000"/>
              </w:rPr>
              <w:t>9726</w:t>
            </w:r>
          </w:p>
        </w:tc>
      </w:tr>
      <w:tr w:rsidR="00D4428E" w:rsidRPr="00ED0E0F" w14:paraId="496B8439" w14:textId="77777777" w:rsidTr="003E4D50">
        <w:trPr>
          <w:trHeight w:val="300"/>
        </w:trPr>
        <w:tc>
          <w:tcPr>
            <w:tcW w:w="1444" w:type="dxa"/>
            <w:tcBorders>
              <w:top w:val="nil"/>
              <w:left w:val="nil"/>
              <w:bottom w:val="nil"/>
              <w:right w:val="nil"/>
            </w:tcBorders>
            <w:shd w:val="clear" w:color="auto" w:fill="auto"/>
            <w:noWrap/>
            <w:vAlign w:val="center"/>
            <w:hideMark/>
          </w:tcPr>
          <w:p w14:paraId="4DC4A259" w14:textId="77777777" w:rsidR="00D4428E" w:rsidRPr="00ED0E0F" w:rsidRDefault="00D4428E" w:rsidP="003E4D50">
            <w:pPr>
              <w:rPr>
                <w:rFonts w:eastAsia="Times New Roman"/>
                <w:color w:val="000000"/>
              </w:rPr>
            </w:pPr>
            <w:r w:rsidRPr="00ED0E0F">
              <w:rPr>
                <w:rFonts w:eastAsia="Times New Roman"/>
                <w:color w:val="000000"/>
              </w:rPr>
              <w:t>Morris</w:t>
            </w:r>
          </w:p>
        </w:tc>
        <w:tc>
          <w:tcPr>
            <w:tcW w:w="1300" w:type="dxa"/>
            <w:tcBorders>
              <w:top w:val="nil"/>
              <w:left w:val="nil"/>
              <w:bottom w:val="nil"/>
              <w:right w:val="nil"/>
            </w:tcBorders>
            <w:shd w:val="clear" w:color="auto" w:fill="auto"/>
            <w:noWrap/>
            <w:vAlign w:val="bottom"/>
            <w:hideMark/>
          </w:tcPr>
          <w:p w14:paraId="0B951497" w14:textId="77777777" w:rsidR="00D4428E" w:rsidRPr="00ED0E0F" w:rsidRDefault="00D4428E" w:rsidP="003E4D50">
            <w:pPr>
              <w:jc w:val="right"/>
              <w:rPr>
                <w:rFonts w:eastAsia="Times New Roman"/>
                <w:color w:val="000000"/>
              </w:rPr>
            </w:pPr>
            <w:r w:rsidRPr="00ED0E0F">
              <w:rPr>
                <w:rFonts w:eastAsia="Times New Roman"/>
                <w:color w:val="000000"/>
              </w:rPr>
              <w:t>5068</w:t>
            </w:r>
          </w:p>
        </w:tc>
        <w:tc>
          <w:tcPr>
            <w:tcW w:w="1300" w:type="dxa"/>
            <w:tcBorders>
              <w:top w:val="nil"/>
              <w:left w:val="nil"/>
              <w:bottom w:val="nil"/>
              <w:right w:val="nil"/>
            </w:tcBorders>
            <w:shd w:val="clear" w:color="auto" w:fill="auto"/>
            <w:noWrap/>
            <w:vAlign w:val="bottom"/>
            <w:hideMark/>
          </w:tcPr>
          <w:p w14:paraId="714399AD" w14:textId="77777777" w:rsidR="00D4428E" w:rsidRPr="00ED0E0F" w:rsidRDefault="00D4428E" w:rsidP="003E4D50">
            <w:pPr>
              <w:jc w:val="right"/>
              <w:rPr>
                <w:rFonts w:eastAsia="Times New Roman"/>
                <w:color w:val="000000"/>
              </w:rPr>
            </w:pPr>
            <w:r w:rsidRPr="00ED0E0F">
              <w:rPr>
                <w:rFonts w:eastAsia="Times New Roman"/>
                <w:color w:val="000000"/>
              </w:rPr>
              <w:t>5,286</w:t>
            </w:r>
          </w:p>
        </w:tc>
      </w:tr>
      <w:tr w:rsidR="00D4428E" w:rsidRPr="00ED0E0F" w14:paraId="12C51C04" w14:textId="77777777" w:rsidTr="003E4D50">
        <w:trPr>
          <w:trHeight w:val="300"/>
        </w:trPr>
        <w:tc>
          <w:tcPr>
            <w:tcW w:w="1444" w:type="dxa"/>
            <w:tcBorders>
              <w:top w:val="nil"/>
              <w:left w:val="nil"/>
              <w:bottom w:val="nil"/>
              <w:right w:val="nil"/>
            </w:tcBorders>
            <w:shd w:val="clear" w:color="auto" w:fill="auto"/>
            <w:noWrap/>
            <w:vAlign w:val="center"/>
            <w:hideMark/>
          </w:tcPr>
          <w:p w14:paraId="3CBC5AA5" w14:textId="77777777" w:rsidR="00D4428E" w:rsidRPr="00ED0E0F" w:rsidRDefault="00D4428E" w:rsidP="003E4D50">
            <w:pPr>
              <w:rPr>
                <w:rFonts w:eastAsia="Times New Roman"/>
                <w:color w:val="000000"/>
              </w:rPr>
            </w:pPr>
            <w:r w:rsidRPr="00ED0E0F">
              <w:rPr>
                <w:rFonts w:eastAsia="Times New Roman"/>
                <w:color w:val="000000"/>
              </w:rPr>
              <w:t>Hancock</w:t>
            </w:r>
          </w:p>
        </w:tc>
        <w:tc>
          <w:tcPr>
            <w:tcW w:w="1300" w:type="dxa"/>
            <w:tcBorders>
              <w:top w:val="nil"/>
              <w:left w:val="nil"/>
              <w:bottom w:val="nil"/>
              <w:right w:val="nil"/>
            </w:tcBorders>
            <w:shd w:val="clear" w:color="auto" w:fill="auto"/>
            <w:noWrap/>
            <w:vAlign w:val="bottom"/>
            <w:hideMark/>
          </w:tcPr>
          <w:p w14:paraId="20EE40EA" w14:textId="77777777" w:rsidR="00D4428E" w:rsidRPr="00ED0E0F" w:rsidRDefault="00D4428E" w:rsidP="003E4D50">
            <w:pPr>
              <w:jc w:val="right"/>
              <w:rPr>
                <w:rFonts w:eastAsia="Times New Roman"/>
                <w:color w:val="000000"/>
              </w:rPr>
            </w:pPr>
            <w:r w:rsidRPr="00ED0E0F">
              <w:rPr>
                <w:rFonts w:eastAsia="Times New Roman"/>
                <w:color w:val="000000"/>
              </w:rPr>
              <w:t>717</w:t>
            </w:r>
          </w:p>
        </w:tc>
        <w:tc>
          <w:tcPr>
            <w:tcW w:w="1300" w:type="dxa"/>
            <w:tcBorders>
              <w:top w:val="nil"/>
              <w:left w:val="nil"/>
              <w:bottom w:val="nil"/>
              <w:right w:val="nil"/>
            </w:tcBorders>
            <w:shd w:val="clear" w:color="auto" w:fill="auto"/>
            <w:noWrap/>
            <w:vAlign w:val="bottom"/>
            <w:hideMark/>
          </w:tcPr>
          <w:p w14:paraId="6F3D03BB" w14:textId="77777777" w:rsidR="00D4428E" w:rsidRPr="00ED0E0F" w:rsidRDefault="00D4428E" w:rsidP="003E4D50">
            <w:pPr>
              <w:jc w:val="right"/>
              <w:rPr>
                <w:rFonts w:eastAsia="Times New Roman"/>
                <w:color w:val="000000"/>
              </w:rPr>
            </w:pPr>
            <w:r w:rsidRPr="00ED0E0F">
              <w:rPr>
                <w:rFonts w:eastAsia="Times New Roman"/>
                <w:color w:val="000000"/>
              </w:rPr>
              <w:t>765</w:t>
            </w:r>
          </w:p>
        </w:tc>
      </w:tr>
      <w:tr w:rsidR="00D4428E" w:rsidRPr="00ED0E0F" w14:paraId="5C6D8EBC" w14:textId="77777777" w:rsidTr="003E4D50">
        <w:trPr>
          <w:trHeight w:val="300"/>
        </w:trPr>
        <w:tc>
          <w:tcPr>
            <w:tcW w:w="1444" w:type="dxa"/>
            <w:tcBorders>
              <w:top w:val="nil"/>
              <w:left w:val="nil"/>
              <w:bottom w:val="nil"/>
              <w:right w:val="nil"/>
            </w:tcBorders>
            <w:shd w:val="clear" w:color="auto" w:fill="auto"/>
            <w:noWrap/>
            <w:vAlign w:val="center"/>
            <w:hideMark/>
          </w:tcPr>
          <w:p w14:paraId="2ED07B54" w14:textId="77777777" w:rsidR="00D4428E" w:rsidRPr="00ED0E0F" w:rsidRDefault="00D4428E" w:rsidP="003E4D50">
            <w:pPr>
              <w:rPr>
                <w:rFonts w:eastAsia="Times New Roman"/>
                <w:color w:val="000000"/>
              </w:rPr>
            </w:pPr>
            <w:proofErr w:type="spellStart"/>
            <w:r w:rsidRPr="00ED0E0F">
              <w:rPr>
                <w:rFonts w:eastAsia="Times New Roman"/>
                <w:color w:val="000000"/>
              </w:rPr>
              <w:t>Chokio</w:t>
            </w:r>
            <w:proofErr w:type="spellEnd"/>
          </w:p>
        </w:tc>
        <w:tc>
          <w:tcPr>
            <w:tcW w:w="1300" w:type="dxa"/>
            <w:tcBorders>
              <w:top w:val="nil"/>
              <w:left w:val="nil"/>
              <w:bottom w:val="nil"/>
              <w:right w:val="nil"/>
            </w:tcBorders>
            <w:shd w:val="clear" w:color="auto" w:fill="auto"/>
            <w:noWrap/>
            <w:vAlign w:val="bottom"/>
            <w:hideMark/>
          </w:tcPr>
          <w:p w14:paraId="0F180FFF" w14:textId="77777777" w:rsidR="00D4428E" w:rsidRPr="00ED0E0F" w:rsidRDefault="00D4428E" w:rsidP="003E4D50">
            <w:pPr>
              <w:jc w:val="right"/>
              <w:rPr>
                <w:rFonts w:eastAsia="Times New Roman"/>
                <w:color w:val="000000"/>
              </w:rPr>
            </w:pPr>
            <w:r w:rsidRPr="00ED0E0F">
              <w:rPr>
                <w:rFonts w:eastAsia="Times New Roman"/>
                <w:color w:val="000000"/>
              </w:rPr>
              <w:t>443</w:t>
            </w:r>
          </w:p>
        </w:tc>
        <w:tc>
          <w:tcPr>
            <w:tcW w:w="1300" w:type="dxa"/>
            <w:tcBorders>
              <w:top w:val="nil"/>
              <w:left w:val="nil"/>
              <w:bottom w:val="nil"/>
              <w:right w:val="nil"/>
            </w:tcBorders>
            <w:shd w:val="clear" w:color="auto" w:fill="auto"/>
            <w:noWrap/>
            <w:vAlign w:val="bottom"/>
            <w:hideMark/>
          </w:tcPr>
          <w:p w14:paraId="292A723E" w14:textId="77777777" w:rsidR="00D4428E" w:rsidRPr="00ED0E0F" w:rsidRDefault="00D4428E" w:rsidP="003E4D50">
            <w:pPr>
              <w:jc w:val="right"/>
              <w:rPr>
                <w:rFonts w:eastAsia="Times New Roman"/>
                <w:color w:val="000000"/>
              </w:rPr>
            </w:pPr>
            <w:r w:rsidRPr="00ED0E0F">
              <w:rPr>
                <w:rFonts w:eastAsia="Times New Roman"/>
                <w:color w:val="000000"/>
              </w:rPr>
              <w:t>400</w:t>
            </w:r>
          </w:p>
        </w:tc>
      </w:tr>
      <w:tr w:rsidR="00D4428E" w:rsidRPr="00ED0E0F" w14:paraId="7D56E848" w14:textId="77777777" w:rsidTr="003E4D50">
        <w:trPr>
          <w:trHeight w:val="300"/>
        </w:trPr>
        <w:tc>
          <w:tcPr>
            <w:tcW w:w="1444" w:type="dxa"/>
            <w:tcBorders>
              <w:top w:val="nil"/>
              <w:left w:val="nil"/>
              <w:bottom w:val="nil"/>
              <w:right w:val="nil"/>
            </w:tcBorders>
            <w:shd w:val="clear" w:color="auto" w:fill="auto"/>
            <w:noWrap/>
            <w:vAlign w:val="center"/>
            <w:hideMark/>
          </w:tcPr>
          <w:p w14:paraId="7209B6CF" w14:textId="77777777" w:rsidR="00D4428E" w:rsidRPr="00ED0E0F" w:rsidRDefault="00D4428E" w:rsidP="003E4D50">
            <w:pPr>
              <w:rPr>
                <w:rFonts w:eastAsia="Times New Roman"/>
                <w:color w:val="000000"/>
              </w:rPr>
            </w:pPr>
            <w:r w:rsidRPr="00ED0E0F">
              <w:rPr>
                <w:rFonts w:eastAsia="Times New Roman"/>
                <w:color w:val="000000"/>
              </w:rPr>
              <w:t>Donnelly</w:t>
            </w:r>
          </w:p>
        </w:tc>
        <w:tc>
          <w:tcPr>
            <w:tcW w:w="1300" w:type="dxa"/>
            <w:tcBorders>
              <w:top w:val="nil"/>
              <w:left w:val="nil"/>
              <w:bottom w:val="nil"/>
              <w:right w:val="nil"/>
            </w:tcBorders>
            <w:shd w:val="clear" w:color="auto" w:fill="auto"/>
            <w:noWrap/>
            <w:vAlign w:val="bottom"/>
            <w:hideMark/>
          </w:tcPr>
          <w:p w14:paraId="79B70E58" w14:textId="77777777" w:rsidR="00D4428E" w:rsidRPr="00ED0E0F" w:rsidRDefault="00D4428E" w:rsidP="003E4D50">
            <w:pPr>
              <w:jc w:val="right"/>
              <w:rPr>
                <w:rFonts w:eastAsia="Times New Roman"/>
                <w:color w:val="000000"/>
              </w:rPr>
            </w:pPr>
            <w:r w:rsidRPr="00ED0E0F">
              <w:rPr>
                <w:rFonts w:eastAsia="Times New Roman"/>
                <w:color w:val="000000"/>
              </w:rPr>
              <w:t>254</w:t>
            </w:r>
          </w:p>
        </w:tc>
        <w:tc>
          <w:tcPr>
            <w:tcW w:w="1300" w:type="dxa"/>
            <w:tcBorders>
              <w:top w:val="nil"/>
              <w:left w:val="nil"/>
              <w:bottom w:val="nil"/>
              <w:right w:val="nil"/>
            </w:tcBorders>
            <w:shd w:val="clear" w:color="auto" w:fill="auto"/>
            <w:noWrap/>
            <w:vAlign w:val="bottom"/>
            <w:hideMark/>
          </w:tcPr>
          <w:p w14:paraId="7EAE3C94" w14:textId="77777777" w:rsidR="00D4428E" w:rsidRPr="00ED0E0F" w:rsidRDefault="00D4428E" w:rsidP="003E4D50">
            <w:pPr>
              <w:jc w:val="right"/>
              <w:rPr>
                <w:rFonts w:eastAsia="Times New Roman"/>
                <w:color w:val="000000"/>
              </w:rPr>
            </w:pPr>
            <w:r w:rsidRPr="00ED0E0F">
              <w:rPr>
                <w:rFonts w:eastAsia="Times New Roman"/>
                <w:color w:val="000000"/>
              </w:rPr>
              <w:t>241</w:t>
            </w:r>
          </w:p>
        </w:tc>
      </w:tr>
      <w:tr w:rsidR="00D4428E" w:rsidRPr="00ED0E0F" w14:paraId="4335592D" w14:textId="77777777" w:rsidTr="003E4D50">
        <w:trPr>
          <w:trHeight w:val="300"/>
        </w:trPr>
        <w:tc>
          <w:tcPr>
            <w:tcW w:w="1444" w:type="dxa"/>
            <w:tcBorders>
              <w:top w:val="nil"/>
              <w:left w:val="nil"/>
              <w:bottom w:val="nil"/>
              <w:right w:val="nil"/>
            </w:tcBorders>
            <w:shd w:val="clear" w:color="auto" w:fill="auto"/>
            <w:noWrap/>
            <w:vAlign w:val="center"/>
            <w:hideMark/>
          </w:tcPr>
          <w:p w14:paraId="0A1A0F5D" w14:textId="77777777" w:rsidR="00D4428E" w:rsidRPr="00ED0E0F" w:rsidRDefault="00D4428E" w:rsidP="003E4D50">
            <w:pPr>
              <w:rPr>
                <w:rFonts w:eastAsia="Times New Roman"/>
                <w:color w:val="000000"/>
              </w:rPr>
            </w:pPr>
            <w:r w:rsidRPr="00ED0E0F">
              <w:rPr>
                <w:rFonts w:eastAsia="Times New Roman"/>
                <w:color w:val="000000"/>
              </w:rPr>
              <w:t>Alberta</w:t>
            </w:r>
          </w:p>
        </w:tc>
        <w:tc>
          <w:tcPr>
            <w:tcW w:w="1300" w:type="dxa"/>
            <w:tcBorders>
              <w:top w:val="nil"/>
              <w:left w:val="nil"/>
              <w:bottom w:val="nil"/>
              <w:right w:val="nil"/>
            </w:tcBorders>
            <w:shd w:val="clear" w:color="auto" w:fill="auto"/>
            <w:noWrap/>
            <w:vAlign w:val="bottom"/>
            <w:hideMark/>
          </w:tcPr>
          <w:p w14:paraId="24CC2A58" w14:textId="77777777" w:rsidR="00D4428E" w:rsidRPr="00ED0E0F" w:rsidRDefault="00D4428E" w:rsidP="003E4D50">
            <w:pPr>
              <w:jc w:val="right"/>
              <w:rPr>
                <w:rFonts w:eastAsia="Times New Roman"/>
                <w:color w:val="000000"/>
              </w:rPr>
            </w:pPr>
            <w:r w:rsidRPr="00ED0E0F">
              <w:rPr>
                <w:rFonts w:eastAsia="Times New Roman"/>
                <w:color w:val="000000"/>
              </w:rPr>
              <w:t>142</w:t>
            </w:r>
          </w:p>
        </w:tc>
        <w:tc>
          <w:tcPr>
            <w:tcW w:w="1300" w:type="dxa"/>
            <w:tcBorders>
              <w:top w:val="nil"/>
              <w:left w:val="nil"/>
              <w:bottom w:val="nil"/>
              <w:right w:val="nil"/>
            </w:tcBorders>
            <w:shd w:val="clear" w:color="auto" w:fill="auto"/>
            <w:noWrap/>
            <w:vAlign w:val="bottom"/>
            <w:hideMark/>
          </w:tcPr>
          <w:p w14:paraId="4781375A" w14:textId="77777777" w:rsidR="00D4428E" w:rsidRPr="00ED0E0F" w:rsidRDefault="00D4428E" w:rsidP="003E4D50">
            <w:pPr>
              <w:jc w:val="right"/>
              <w:rPr>
                <w:rFonts w:eastAsia="Times New Roman"/>
                <w:color w:val="000000"/>
              </w:rPr>
            </w:pPr>
            <w:r w:rsidRPr="00ED0E0F">
              <w:rPr>
                <w:rFonts w:eastAsia="Times New Roman"/>
                <w:color w:val="000000"/>
              </w:rPr>
              <w:t>103</w:t>
            </w:r>
          </w:p>
        </w:tc>
      </w:tr>
    </w:tbl>
    <w:tbl>
      <w:tblPr>
        <w:tblpPr w:leftFromText="180" w:rightFromText="180" w:vertAnchor="text" w:horzAnchor="page" w:tblpX="7030" w:tblpY="-2574"/>
        <w:tblW w:w="2600" w:type="dxa"/>
        <w:tblLook w:val="04A0" w:firstRow="1" w:lastRow="0" w:firstColumn="1" w:lastColumn="0" w:noHBand="0" w:noVBand="1"/>
      </w:tblPr>
      <w:tblGrid>
        <w:gridCol w:w="1300"/>
        <w:gridCol w:w="1300"/>
      </w:tblGrid>
      <w:tr w:rsidR="00D4428E" w:rsidRPr="00ED0E0F" w14:paraId="3E3DD009" w14:textId="77777777" w:rsidTr="003E4D50">
        <w:trPr>
          <w:trHeight w:val="300"/>
        </w:trPr>
        <w:tc>
          <w:tcPr>
            <w:tcW w:w="1300" w:type="dxa"/>
            <w:tcBorders>
              <w:top w:val="nil"/>
              <w:left w:val="nil"/>
              <w:bottom w:val="nil"/>
              <w:right w:val="nil"/>
            </w:tcBorders>
            <w:shd w:val="clear" w:color="auto" w:fill="auto"/>
            <w:noWrap/>
            <w:vAlign w:val="bottom"/>
            <w:hideMark/>
          </w:tcPr>
          <w:p w14:paraId="70AAF93F" w14:textId="77777777" w:rsidR="00D4428E" w:rsidRPr="00ED0E0F" w:rsidRDefault="00D4428E" w:rsidP="003E4D50">
            <w:pPr>
              <w:rPr>
                <w:rFonts w:eastAsia="Times New Roman"/>
                <w:color w:val="000000"/>
              </w:rPr>
            </w:pPr>
            <w:r w:rsidRPr="00ED0E0F">
              <w:rPr>
                <w:rFonts w:eastAsia="Times New Roman"/>
                <w:color w:val="000000"/>
              </w:rPr>
              <w:t>Year</w:t>
            </w:r>
          </w:p>
        </w:tc>
        <w:tc>
          <w:tcPr>
            <w:tcW w:w="1300" w:type="dxa"/>
            <w:tcBorders>
              <w:top w:val="nil"/>
              <w:left w:val="nil"/>
              <w:bottom w:val="nil"/>
              <w:right w:val="nil"/>
            </w:tcBorders>
            <w:shd w:val="clear" w:color="auto" w:fill="auto"/>
            <w:noWrap/>
            <w:vAlign w:val="bottom"/>
            <w:hideMark/>
          </w:tcPr>
          <w:p w14:paraId="6A28E749" w14:textId="77777777" w:rsidR="00D4428E" w:rsidRPr="00ED0E0F" w:rsidRDefault="00D4428E" w:rsidP="003E4D50">
            <w:pPr>
              <w:rPr>
                <w:rFonts w:eastAsia="Times New Roman"/>
                <w:color w:val="000000"/>
              </w:rPr>
            </w:pPr>
            <w:r w:rsidRPr="00ED0E0F">
              <w:rPr>
                <w:rFonts w:eastAsia="Times New Roman"/>
                <w:color w:val="000000"/>
              </w:rPr>
              <w:t>Population</w:t>
            </w:r>
          </w:p>
        </w:tc>
      </w:tr>
      <w:tr w:rsidR="00D4428E" w:rsidRPr="00ED0E0F" w14:paraId="24052E95" w14:textId="77777777" w:rsidTr="003E4D50">
        <w:trPr>
          <w:trHeight w:val="300"/>
        </w:trPr>
        <w:tc>
          <w:tcPr>
            <w:tcW w:w="1300" w:type="dxa"/>
            <w:tcBorders>
              <w:top w:val="nil"/>
              <w:left w:val="nil"/>
              <w:bottom w:val="nil"/>
              <w:right w:val="nil"/>
            </w:tcBorders>
            <w:shd w:val="clear" w:color="auto" w:fill="auto"/>
            <w:noWrap/>
            <w:vAlign w:val="bottom"/>
            <w:hideMark/>
          </w:tcPr>
          <w:p w14:paraId="6462AE0D" w14:textId="77777777" w:rsidR="00D4428E" w:rsidRPr="00ED0E0F" w:rsidRDefault="00D4428E" w:rsidP="003E4D50">
            <w:pPr>
              <w:rPr>
                <w:rFonts w:eastAsia="Times New Roman"/>
                <w:color w:val="000000"/>
              </w:rPr>
            </w:pPr>
            <w:r w:rsidRPr="00ED0E0F">
              <w:rPr>
                <w:rFonts w:eastAsia="Times New Roman"/>
                <w:color w:val="000000"/>
              </w:rPr>
              <w:t>1980</w:t>
            </w:r>
          </w:p>
        </w:tc>
        <w:tc>
          <w:tcPr>
            <w:tcW w:w="1300" w:type="dxa"/>
            <w:tcBorders>
              <w:top w:val="nil"/>
              <w:left w:val="nil"/>
              <w:bottom w:val="nil"/>
              <w:right w:val="nil"/>
            </w:tcBorders>
            <w:shd w:val="clear" w:color="auto" w:fill="auto"/>
            <w:noWrap/>
            <w:vAlign w:val="bottom"/>
            <w:hideMark/>
          </w:tcPr>
          <w:p w14:paraId="38BC1F2F" w14:textId="77777777" w:rsidR="00D4428E" w:rsidRPr="00ED0E0F" w:rsidRDefault="00D4428E" w:rsidP="003E4D50">
            <w:pPr>
              <w:jc w:val="right"/>
              <w:rPr>
                <w:rFonts w:eastAsia="Times New Roman"/>
                <w:color w:val="000000"/>
              </w:rPr>
            </w:pPr>
            <w:r w:rsidRPr="00ED0E0F">
              <w:rPr>
                <w:rFonts w:eastAsia="Times New Roman"/>
                <w:color w:val="000000"/>
              </w:rPr>
              <w:t>5367</w:t>
            </w:r>
          </w:p>
        </w:tc>
      </w:tr>
      <w:tr w:rsidR="00D4428E" w:rsidRPr="00ED0E0F" w14:paraId="14DBB55F" w14:textId="77777777" w:rsidTr="003E4D50">
        <w:trPr>
          <w:trHeight w:val="300"/>
        </w:trPr>
        <w:tc>
          <w:tcPr>
            <w:tcW w:w="1300" w:type="dxa"/>
            <w:tcBorders>
              <w:top w:val="nil"/>
              <w:left w:val="nil"/>
              <w:bottom w:val="nil"/>
              <w:right w:val="nil"/>
            </w:tcBorders>
            <w:shd w:val="clear" w:color="auto" w:fill="auto"/>
            <w:noWrap/>
            <w:vAlign w:val="bottom"/>
            <w:hideMark/>
          </w:tcPr>
          <w:p w14:paraId="75D8E22B" w14:textId="77777777" w:rsidR="00D4428E" w:rsidRPr="00ED0E0F" w:rsidRDefault="00D4428E" w:rsidP="003E4D50">
            <w:pPr>
              <w:rPr>
                <w:rFonts w:eastAsia="Times New Roman"/>
                <w:color w:val="000000"/>
              </w:rPr>
            </w:pPr>
            <w:r w:rsidRPr="00ED0E0F">
              <w:rPr>
                <w:rFonts w:eastAsia="Times New Roman"/>
                <w:color w:val="000000"/>
              </w:rPr>
              <w:t>1990</w:t>
            </w:r>
          </w:p>
        </w:tc>
        <w:tc>
          <w:tcPr>
            <w:tcW w:w="1300" w:type="dxa"/>
            <w:tcBorders>
              <w:top w:val="nil"/>
              <w:left w:val="nil"/>
              <w:bottom w:val="nil"/>
              <w:right w:val="nil"/>
            </w:tcBorders>
            <w:shd w:val="clear" w:color="auto" w:fill="auto"/>
            <w:noWrap/>
            <w:vAlign w:val="bottom"/>
            <w:hideMark/>
          </w:tcPr>
          <w:p w14:paraId="1C6975DF" w14:textId="77777777" w:rsidR="00D4428E" w:rsidRPr="00ED0E0F" w:rsidRDefault="00D4428E" w:rsidP="003E4D50">
            <w:pPr>
              <w:jc w:val="right"/>
              <w:rPr>
                <w:rFonts w:eastAsia="Times New Roman"/>
                <w:color w:val="000000"/>
              </w:rPr>
            </w:pPr>
            <w:r w:rsidRPr="00ED0E0F">
              <w:rPr>
                <w:rFonts w:eastAsia="Times New Roman"/>
                <w:color w:val="000000"/>
              </w:rPr>
              <w:t>5613</w:t>
            </w:r>
          </w:p>
        </w:tc>
      </w:tr>
      <w:tr w:rsidR="00D4428E" w:rsidRPr="00ED0E0F" w14:paraId="66237C3F" w14:textId="77777777" w:rsidTr="003E4D50">
        <w:trPr>
          <w:trHeight w:val="300"/>
        </w:trPr>
        <w:tc>
          <w:tcPr>
            <w:tcW w:w="1300" w:type="dxa"/>
            <w:tcBorders>
              <w:top w:val="nil"/>
              <w:left w:val="nil"/>
              <w:bottom w:val="nil"/>
              <w:right w:val="nil"/>
            </w:tcBorders>
            <w:shd w:val="clear" w:color="auto" w:fill="auto"/>
            <w:noWrap/>
            <w:vAlign w:val="bottom"/>
            <w:hideMark/>
          </w:tcPr>
          <w:p w14:paraId="4BC9AA52" w14:textId="77777777" w:rsidR="00D4428E" w:rsidRPr="00ED0E0F" w:rsidRDefault="00D4428E" w:rsidP="003E4D50">
            <w:pPr>
              <w:rPr>
                <w:rFonts w:eastAsia="Times New Roman"/>
                <w:color w:val="000000"/>
              </w:rPr>
            </w:pPr>
            <w:r w:rsidRPr="00ED0E0F">
              <w:rPr>
                <w:rFonts w:eastAsia="Times New Roman"/>
                <w:color w:val="000000"/>
              </w:rPr>
              <w:t>2000</w:t>
            </w:r>
          </w:p>
        </w:tc>
        <w:tc>
          <w:tcPr>
            <w:tcW w:w="1300" w:type="dxa"/>
            <w:tcBorders>
              <w:top w:val="nil"/>
              <w:left w:val="nil"/>
              <w:bottom w:val="nil"/>
              <w:right w:val="nil"/>
            </w:tcBorders>
            <w:shd w:val="clear" w:color="auto" w:fill="auto"/>
            <w:noWrap/>
            <w:vAlign w:val="bottom"/>
            <w:hideMark/>
          </w:tcPr>
          <w:p w14:paraId="1297D718" w14:textId="77777777" w:rsidR="00D4428E" w:rsidRPr="00ED0E0F" w:rsidRDefault="00D4428E" w:rsidP="003E4D50">
            <w:pPr>
              <w:jc w:val="right"/>
              <w:rPr>
                <w:rFonts w:eastAsia="Times New Roman"/>
                <w:color w:val="000000"/>
              </w:rPr>
            </w:pPr>
            <w:r w:rsidRPr="00ED0E0F">
              <w:rPr>
                <w:rFonts w:eastAsia="Times New Roman"/>
                <w:color w:val="000000"/>
              </w:rPr>
              <w:t>5068</w:t>
            </w:r>
          </w:p>
        </w:tc>
      </w:tr>
      <w:tr w:rsidR="00D4428E" w:rsidRPr="00ED0E0F" w14:paraId="027758B5" w14:textId="77777777" w:rsidTr="003E4D50">
        <w:trPr>
          <w:trHeight w:val="300"/>
        </w:trPr>
        <w:tc>
          <w:tcPr>
            <w:tcW w:w="1300" w:type="dxa"/>
            <w:tcBorders>
              <w:top w:val="nil"/>
              <w:left w:val="nil"/>
              <w:bottom w:val="nil"/>
              <w:right w:val="nil"/>
            </w:tcBorders>
            <w:shd w:val="clear" w:color="auto" w:fill="auto"/>
            <w:noWrap/>
            <w:vAlign w:val="bottom"/>
            <w:hideMark/>
          </w:tcPr>
          <w:p w14:paraId="7A62767E" w14:textId="77777777" w:rsidR="00D4428E" w:rsidRPr="00ED0E0F" w:rsidRDefault="00D4428E" w:rsidP="003E4D50">
            <w:pPr>
              <w:rPr>
                <w:rFonts w:eastAsia="Times New Roman"/>
                <w:color w:val="000000"/>
              </w:rPr>
            </w:pPr>
            <w:r w:rsidRPr="00ED0E0F">
              <w:rPr>
                <w:rFonts w:eastAsia="Times New Roman"/>
                <w:color w:val="000000"/>
              </w:rPr>
              <w:t>2010</w:t>
            </w:r>
          </w:p>
        </w:tc>
        <w:tc>
          <w:tcPr>
            <w:tcW w:w="1300" w:type="dxa"/>
            <w:tcBorders>
              <w:top w:val="nil"/>
              <w:left w:val="nil"/>
              <w:bottom w:val="nil"/>
              <w:right w:val="nil"/>
            </w:tcBorders>
            <w:shd w:val="clear" w:color="auto" w:fill="auto"/>
            <w:noWrap/>
            <w:vAlign w:val="bottom"/>
            <w:hideMark/>
          </w:tcPr>
          <w:p w14:paraId="2E68B869" w14:textId="77777777" w:rsidR="00D4428E" w:rsidRPr="00ED0E0F" w:rsidRDefault="00D4428E" w:rsidP="003E4D50">
            <w:pPr>
              <w:jc w:val="right"/>
              <w:rPr>
                <w:rFonts w:eastAsia="Times New Roman"/>
                <w:color w:val="000000"/>
              </w:rPr>
            </w:pPr>
            <w:r w:rsidRPr="00ED0E0F">
              <w:rPr>
                <w:rFonts w:eastAsia="Times New Roman"/>
                <w:color w:val="000000"/>
              </w:rPr>
              <w:t>5286</w:t>
            </w:r>
          </w:p>
        </w:tc>
      </w:tr>
    </w:tbl>
    <w:p w14:paraId="3792D2F3" w14:textId="77777777" w:rsidR="00D4428E" w:rsidRPr="00ED0E0F" w:rsidRDefault="00D4428E" w:rsidP="00D4428E">
      <w:pPr>
        <w:rPr>
          <w:b/>
        </w:rPr>
      </w:pPr>
    </w:p>
    <w:p w14:paraId="16B37ACA" w14:textId="77777777" w:rsidR="00D4428E" w:rsidRPr="00ED0E0F" w:rsidRDefault="00D4428E" w:rsidP="00D4428E">
      <w:pPr>
        <w:rPr>
          <w:b/>
        </w:rPr>
      </w:pPr>
    </w:p>
    <w:p w14:paraId="7E7A5EF0" w14:textId="77777777" w:rsidR="00D4428E" w:rsidRPr="00ED0E0F" w:rsidRDefault="00D4428E" w:rsidP="00D4428E">
      <w:pPr>
        <w:rPr>
          <w:b/>
        </w:rPr>
      </w:pPr>
      <w:r w:rsidRPr="00ED0E0F">
        <w:rPr>
          <w:b/>
        </w:rPr>
        <w:t xml:space="preserve">Table 3: Age and Sex Distribution in Morris City 2010  </w:t>
      </w:r>
    </w:p>
    <w:tbl>
      <w:tblPr>
        <w:tblW w:w="8646" w:type="dxa"/>
        <w:tblInd w:w="93" w:type="dxa"/>
        <w:tblLook w:val="04A0" w:firstRow="1" w:lastRow="0" w:firstColumn="1" w:lastColumn="0" w:noHBand="0" w:noVBand="1"/>
      </w:tblPr>
      <w:tblGrid>
        <w:gridCol w:w="1957"/>
        <w:gridCol w:w="1297"/>
        <w:gridCol w:w="1507"/>
        <w:gridCol w:w="1310"/>
        <w:gridCol w:w="1405"/>
        <w:gridCol w:w="1287"/>
      </w:tblGrid>
      <w:tr w:rsidR="00D4428E" w:rsidRPr="00ED0E0F" w14:paraId="4647C2A8" w14:textId="77777777" w:rsidTr="003E4D50">
        <w:trPr>
          <w:trHeight w:val="300"/>
        </w:trPr>
        <w:tc>
          <w:tcPr>
            <w:tcW w:w="1979" w:type="dxa"/>
            <w:tcBorders>
              <w:top w:val="nil"/>
              <w:left w:val="nil"/>
              <w:bottom w:val="nil"/>
              <w:right w:val="nil"/>
            </w:tcBorders>
            <w:shd w:val="clear" w:color="auto" w:fill="auto"/>
            <w:noWrap/>
            <w:vAlign w:val="bottom"/>
            <w:hideMark/>
          </w:tcPr>
          <w:p w14:paraId="379908EF" w14:textId="77777777" w:rsidR="00D4428E" w:rsidRPr="00ED0E0F" w:rsidRDefault="00D4428E" w:rsidP="003E4D50">
            <w:pPr>
              <w:rPr>
                <w:rFonts w:eastAsia="Times New Roman"/>
                <w:color w:val="000000"/>
              </w:rPr>
            </w:pPr>
            <w:r w:rsidRPr="00ED0E0F">
              <w:rPr>
                <w:rFonts w:eastAsia="Times New Roman"/>
                <w:color w:val="000000"/>
              </w:rPr>
              <w:t>Age</w:t>
            </w:r>
          </w:p>
        </w:tc>
        <w:tc>
          <w:tcPr>
            <w:tcW w:w="1300" w:type="dxa"/>
            <w:tcBorders>
              <w:top w:val="nil"/>
              <w:left w:val="nil"/>
              <w:bottom w:val="nil"/>
              <w:right w:val="nil"/>
            </w:tcBorders>
            <w:shd w:val="clear" w:color="auto" w:fill="auto"/>
            <w:noWrap/>
            <w:vAlign w:val="bottom"/>
            <w:hideMark/>
          </w:tcPr>
          <w:p w14:paraId="04F89A76" w14:textId="77777777" w:rsidR="00D4428E" w:rsidRPr="00ED0E0F" w:rsidRDefault="00D4428E" w:rsidP="003E4D50">
            <w:pPr>
              <w:rPr>
                <w:rFonts w:eastAsia="Times New Roman"/>
                <w:color w:val="000000"/>
              </w:rPr>
            </w:pPr>
            <w:r w:rsidRPr="00ED0E0F">
              <w:rPr>
                <w:rFonts w:eastAsia="Times New Roman"/>
                <w:color w:val="000000"/>
              </w:rPr>
              <w:t>Male_2010</w:t>
            </w:r>
          </w:p>
        </w:tc>
        <w:tc>
          <w:tcPr>
            <w:tcW w:w="1347" w:type="dxa"/>
            <w:tcBorders>
              <w:top w:val="nil"/>
              <w:left w:val="nil"/>
              <w:bottom w:val="nil"/>
              <w:right w:val="nil"/>
            </w:tcBorders>
            <w:shd w:val="clear" w:color="auto" w:fill="auto"/>
            <w:noWrap/>
            <w:vAlign w:val="bottom"/>
            <w:hideMark/>
          </w:tcPr>
          <w:p w14:paraId="504A47FB" w14:textId="77777777" w:rsidR="00D4428E" w:rsidRPr="00ED0E0F" w:rsidRDefault="00D4428E" w:rsidP="003E4D50">
            <w:pPr>
              <w:rPr>
                <w:rFonts w:eastAsia="Times New Roman"/>
                <w:color w:val="000000"/>
              </w:rPr>
            </w:pPr>
            <w:r w:rsidRPr="00ED0E0F">
              <w:rPr>
                <w:rFonts w:eastAsia="Times New Roman"/>
                <w:color w:val="000000"/>
              </w:rPr>
              <w:t>Female_2010</w:t>
            </w:r>
          </w:p>
        </w:tc>
        <w:tc>
          <w:tcPr>
            <w:tcW w:w="1300" w:type="dxa"/>
            <w:tcBorders>
              <w:top w:val="nil"/>
              <w:left w:val="nil"/>
              <w:bottom w:val="nil"/>
              <w:right w:val="nil"/>
            </w:tcBorders>
            <w:shd w:val="clear" w:color="auto" w:fill="auto"/>
            <w:noWrap/>
            <w:vAlign w:val="bottom"/>
            <w:hideMark/>
          </w:tcPr>
          <w:p w14:paraId="4CB83AFB" w14:textId="77777777" w:rsidR="00D4428E" w:rsidRPr="00ED0E0F" w:rsidRDefault="00D4428E" w:rsidP="003E4D50">
            <w:pPr>
              <w:rPr>
                <w:rFonts w:eastAsia="Times New Roman"/>
                <w:color w:val="000000"/>
              </w:rPr>
            </w:pPr>
            <w:r w:rsidRPr="00ED0E0F">
              <w:rPr>
                <w:rFonts w:eastAsia="Times New Roman"/>
                <w:color w:val="000000"/>
              </w:rPr>
              <w:t>Total_2010</w:t>
            </w:r>
          </w:p>
        </w:tc>
        <w:tc>
          <w:tcPr>
            <w:tcW w:w="1420" w:type="dxa"/>
            <w:tcBorders>
              <w:top w:val="nil"/>
              <w:left w:val="nil"/>
              <w:bottom w:val="nil"/>
              <w:right w:val="nil"/>
            </w:tcBorders>
            <w:shd w:val="clear" w:color="auto" w:fill="auto"/>
            <w:noWrap/>
            <w:vAlign w:val="bottom"/>
            <w:hideMark/>
          </w:tcPr>
          <w:p w14:paraId="52BB7E02" w14:textId="77777777" w:rsidR="00D4428E" w:rsidRPr="00ED0E0F" w:rsidRDefault="00D4428E" w:rsidP="003E4D50">
            <w:pPr>
              <w:rPr>
                <w:rFonts w:eastAsia="Times New Roman"/>
                <w:color w:val="000000"/>
              </w:rPr>
            </w:pPr>
            <w:r w:rsidRPr="00ED0E0F">
              <w:rPr>
                <w:rFonts w:eastAsia="Times New Roman"/>
                <w:color w:val="000000"/>
              </w:rPr>
              <w:t xml:space="preserve">% </w:t>
            </w:r>
            <w:proofErr w:type="gramStart"/>
            <w:r w:rsidRPr="00ED0E0F">
              <w:rPr>
                <w:rFonts w:eastAsia="Times New Roman"/>
                <w:color w:val="000000"/>
              </w:rPr>
              <w:t>male</w:t>
            </w:r>
            <w:proofErr w:type="gramEnd"/>
          </w:p>
        </w:tc>
        <w:tc>
          <w:tcPr>
            <w:tcW w:w="1300" w:type="dxa"/>
            <w:tcBorders>
              <w:top w:val="nil"/>
              <w:left w:val="nil"/>
              <w:bottom w:val="nil"/>
              <w:right w:val="nil"/>
            </w:tcBorders>
            <w:shd w:val="clear" w:color="auto" w:fill="auto"/>
            <w:noWrap/>
            <w:vAlign w:val="bottom"/>
            <w:hideMark/>
          </w:tcPr>
          <w:p w14:paraId="7DDDEFDC" w14:textId="77777777" w:rsidR="00D4428E" w:rsidRPr="00ED0E0F" w:rsidRDefault="00D4428E" w:rsidP="003E4D50">
            <w:pPr>
              <w:rPr>
                <w:rFonts w:eastAsia="Times New Roman"/>
                <w:color w:val="000000"/>
              </w:rPr>
            </w:pPr>
            <w:r w:rsidRPr="00ED0E0F">
              <w:rPr>
                <w:rFonts w:eastAsia="Times New Roman"/>
                <w:color w:val="000000"/>
              </w:rPr>
              <w:t xml:space="preserve">% </w:t>
            </w:r>
            <w:proofErr w:type="gramStart"/>
            <w:r w:rsidRPr="00ED0E0F">
              <w:rPr>
                <w:rFonts w:eastAsia="Times New Roman"/>
                <w:color w:val="000000"/>
              </w:rPr>
              <w:t>female</w:t>
            </w:r>
            <w:proofErr w:type="gramEnd"/>
          </w:p>
        </w:tc>
      </w:tr>
      <w:tr w:rsidR="00D4428E" w:rsidRPr="00ED0E0F" w14:paraId="49C3C2F9" w14:textId="77777777" w:rsidTr="003E4D50">
        <w:trPr>
          <w:trHeight w:val="300"/>
        </w:trPr>
        <w:tc>
          <w:tcPr>
            <w:tcW w:w="1979" w:type="dxa"/>
            <w:tcBorders>
              <w:top w:val="nil"/>
              <w:left w:val="nil"/>
              <w:bottom w:val="nil"/>
              <w:right w:val="nil"/>
            </w:tcBorders>
            <w:shd w:val="clear" w:color="auto" w:fill="auto"/>
            <w:noWrap/>
            <w:vAlign w:val="bottom"/>
            <w:hideMark/>
          </w:tcPr>
          <w:p w14:paraId="4A038B0F" w14:textId="77777777" w:rsidR="00D4428E" w:rsidRPr="00ED0E0F" w:rsidRDefault="00D4428E" w:rsidP="003E4D50">
            <w:pPr>
              <w:rPr>
                <w:rFonts w:eastAsia="Times New Roman"/>
                <w:color w:val="000000"/>
              </w:rPr>
            </w:pPr>
            <w:r w:rsidRPr="00ED0E0F">
              <w:rPr>
                <w:rFonts w:eastAsia="Times New Roman"/>
                <w:color w:val="000000"/>
              </w:rPr>
              <w:t xml:space="preserve">    Under 5 years</w:t>
            </w:r>
          </w:p>
        </w:tc>
        <w:tc>
          <w:tcPr>
            <w:tcW w:w="1300" w:type="dxa"/>
            <w:tcBorders>
              <w:top w:val="nil"/>
              <w:left w:val="nil"/>
              <w:bottom w:val="nil"/>
              <w:right w:val="nil"/>
            </w:tcBorders>
            <w:shd w:val="clear" w:color="auto" w:fill="auto"/>
            <w:noWrap/>
            <w:vAlign w:val="bottom"/>
            <w:hideMark/>
          </w:tcPr>
          <w:p w14:paraId="04FAAB19" w14:textId="77777777" w:rsidR="00D4428E" w:rsidRPr="00ED0E0F" w:rsidRDefault="00D4428E" w:rsidP="003E4D50">
            <w:pPr>
              <w:jc w:val="right"/>
              <w:rPr>
                <w:rFonts w:eastAsia="Times New Roman"/>
                <w:color w:val="000000"/>
              </w:rPr>
            </w:pPr>
            <w:r w:rsidRPr="00ED0E0F">
              <w:rPr>
                <w:rFonts w:eastAsia="Times New Roman"/>
                <w:color w:val="000000"/>
              </w:rPr>
              <w:t>152</w:t>
            </w:r>
          </w:p>
        </w:tc>
        <w:tc>
          <w:tcPr>
            <w:tcW w:w="1347" w:type="dxa"/>
            <w:tcBorders>
              <w:top w:val="nil"/>
              <w:left w:val="nil"/>
              <w:bottom w:val="nil"/>
              <w:right w:val="nil"/>
            </w:tcBorders>
            <w:shd w:val="clear" w:color="auto" w:fill="auto"/>
            <w:noWrap/>
            <w:vAlign w:val="bottom"/>
            <w:hideMark/>
          </w:tcPr>
          <w:p w14:paraId="1F82A019" w14:textId="77777777" w:rsidR="00D4428E" w:rsidRPr="00ED0E0F" w:rsidRDefault="00D4428E" w:rsidP="003E4D50">
            <w:pPr>
              <w:jc w:val="right"/>
              <w:rPr>
                <w:rFonts w:eastAsia="Times New Roman"/>
                <w:color w:val="000000"/>
              </w:rPr>
            </w:pPr>
            <w:r w:rsidRPr="00ED0E0F">
              <w:rPr>
                <w:rFonts w:eastAsia="Times New Roman"/>
                <w:color w:val="000000"/>
              </w:rPr>
              <w:t>152</w:t>
            </w:r>
          </w:p>
        </w:tc>
        <w:tc>
          <w:tcPr>
            <w:tcW w:w="1300" w:type="dxa"/>
            <w:tcBorders>
              <w:top w:val="nil"/>
              <w:left w:val="nil"/>
              <w:bottom w:val="nil"/>
              <w:right w:val="nil"/>
            </w:tcBorders>
            <w:shd w:val="clear" w:color="auto" w:fill="auto"/>
            <w:noWrap/>
            <w:vAlign w:val="bottom"/>
            <w:hideMark/>
          </w:tcPr>
          <w:p w14:paraId="71449387" w14:textId="77777777" w:rsidR="00D4428E" w:rsidRPr="00ED0E0F" w:rsidRDefault="00D4428E" w:rsidP="003E4D50">
            <w:pPr>
              <w:jc w:val="right"/>
              <w:rPr>
                <w:rFonts w:eastAsia="Times New Roman"/>
                <w:color w:val="000000"/>
              </w:rPr>
            </w:pPr>
            <w:r w:rsidRPr="00ED0E0F">
              <w:rPr>
                <w:rFonts w:eastAsia="Times New Roman"/>
                <w:color w:val="000000"/>
              </w:rPr>
              <w:t>304</w:t>
            </w:r>
          </w:p>
        </w:tc>
        <w:tc>
          <w:tcPr>
            <w:tcW w:w="1420" w:type="dxa"/>
            <w:tcBorders>
              <w:top w:val="nil"/>
              <w:left w:val="nil"/>
              <w:bottom w:val="nil"/>
              <w:right w:val="nil"/>
            </w:tcBorders>
            <w:shd w:val="clear" w:color="auto" w:fill="auto"/>
            <w:noWrap/>
            <w:vAlign w:val="bottom"/>
            <w:hideMark/>
          </w:tcPr>
          <w:p w14:paraId="6EDCA7F0" w14:textId="77777777" w:rsidR="00D4428E" w:rsidRPr="00ED0E0F" w:rsidRDefault="00D4428E" w:rsidP="003E4D50">
            <w:pPr>
              <w:jc w:val="right"/>
              <w:rPr>
                <w:rFonts w:eastAsia="Times New Roman"/>
                <w:color w:val="000000"/>
              </w:rPr>
            </w:pPr>
            <w:r w:rsidRPr="00ED0E0F">
              <w:rPr>
                <w:rFonts w:eastAsia="Times New Roman"/>
                <w:color w:val="000000"/>
              </w:rPr>
              <w:t>-2.9</w:t>
            </w:r>
          </w:p>
        </w:tc>
        <w:tc>
          <w:tcPr>
            <w:tcW w:w="1300" w:type="dxa"/>
            <w:tcBorders>
              <w:top w:val="nil"/>
              <w:left w:val="nil"/>
              <w:bottom w:val="nil"/>
              <w:right w:val="nil"/>
            </w:tcBorders>
            <w:shd w:val="clear" w:color="auto" w:fill="auto"/>
            <w:noWrap/>
            <w:vAlign w:val="bottom"/>
            <w:hideMark/>
          </w:tcPr>
          <w:p w14:paraId="222392CF" w14:textId="77777777" w:rsidR="00D4428E" w:rsidRPr="00ED0E0F" w:rsidRDefault="00D4428E" w:rsidP="003E4D50">
            <w:pPr>
              <w:jc w:val="right"/>
              <w:rPr>
                <w:rFonts w:eastAsia="Times New Roman"/>
                <w:color w:val="000000"/>
              </w:rPr>
            </w:pPr>
            <w:r w:rsidRPr="00ED0E0F">
              <w:rPr>
                <w:rFonts w:eastAsia="Times New Roman"/>
                <w:color w:val="000000"/>
              </w:rPr>
              <w:t>2.9</w:t>
            </w:r>
          </w:p>
        </w:tc>
      </w:tr>
      <w:tr w:rsidR="00D4428E" w:rsidRPr="00ED0E0F" w14:paraId="0E7213A9" w14:textId="77777777" w:rsidTr="003E4D50">
        <w:trPr>
          <w:trHeight w:val="300"/>
        </w:trPr>
        <w:tc>
          <w:tcPr>
            <w:tcW w:w="1979" w:type="dxa"/>
            <w:tcBorders>
              <w:top w:val="nil"/>
              <w:left w:val="nil"/>
              <w:bottom w:val="nil"/>
              <w:right w:val="nil"/>
            </w:tcBorders>
            <w:shd w:val="clear" w:color="auto" w:fill="auto"/>
            <w:noWrap/>
            <w:vAlign w:val="bottom"/>
            <w:hideMark/>
          </w:tcPr>
          <w:p w14:paraId="761BB800" w14:textId="77777777" w:rsidR="00D4428E" w:rsidRPr="00ED0E0F" w:rsidRDefault="00D4428E" w:rsidP="003E4D50">
            <w:pPr>
              <w:rPr>
                <w:rFonts w:eastAsia="Times New Roman"/>
                <w:color w:val="000000"/>
              </w:rPr>
            </w:pPr>
            <w:r w:rsidRPr="00ED0E0F">
              <w:rPr>
                <w:rFonts w:eastAsia="Times New Roman"/>
                <w:color w:val="000000"/>
              </w:rPr>
              <w:t xml:space="preserve">    5 to 9 years</w:t>
            </w:r>
          </w:p>
        </w:tc>
        <w:tc>
          <w:tcPr>
            <w:tcW w:w="1300" w:type="dxa"/>
            <w:tcBorders>
              <w:top w:val="nil"/>
              <w:left w:val="nil"/>
              <w:bottom w:val="nil"/>
              <w:right w:val="nil"/>
            </w:tcBorders>
            <w:shd w:val="clear" w:color="auto" w:fill="auto"/>
            <w:noWrap/>
            <w:vAlign w:val="bottom"/>
            <w:hideMark/>
          </w:tcPr>
          <w:p w14:paraId="206EC745" w14:textId="77777777" w:rsidR="00D4428E" w:rsidRPr="00ED0E0F" w:rsidRDefault="00D4428E" w:rsidP="003E4D50">
            <w:pPr>
              <w:jc w:val="right"/>
              <w:rPr>
                <w:rFonts w:eastAsia="Times New Roman"/>
                <w:color w:val="000000"/>
              </w:rPr>
            </w:pPr>
            <w:r w:rsidRPr="00ED0E0F">
              <w:rPr>
                <w:rFonts w:eastAsia="Times New Roman"/>
                <w:color w:val="000000"/>
              </w:rPr>
              <w:t>127</w:t>
            </w:r>
          </w:p>
        </w:tc>
        <w:tc>
          <w:tcPr>
            <w:tcW w:w="1347" w:type="dxa"/>
            <w:tcBorders>
              <w:top w:val="nil"/>
              <w:left w:val="nil"/>
              <w:bottom w:val="nil"/>
              <w:right w:val="nil"/>
            </w:tcBorders>
            <w:shd w:val="clear" w:color="auto" w:fill="auto"/>
            <w:noWrap/>
            <w:vAlign w:val="bottom"/>
            <w:hideMark/>
          </w:tcPr>
          <w:p w14:paraId="54DF71DD" w14:textId="77777777" w:rsidR="00D4428E" w:rsidRPr="00ED0E0F" w:rsidRDefault="00D4428E" w:rsidP="003E4D50">
            <w:pPr>
              <w:jc w:val="right"/>
              <w:rPr>
                <w:rFonts w:eastAsia="Times New Roman"/>
                <w:color w:val="000000"/>
              </w:rPr>
            </w:pPr>
            <w:r w:rsidRPr="00ED0E0F">
              <w:rPr>
                <w:rFonts w:eastAsia="Times New Roman"/>
                <w:color w:val="000000"/>
              </w:rPr>
              <w:t>125</w:t>
            </w:r>
          </w:p>
        </w:tc>
        <w:tc>
          <w:tcPr>
            <w:tcW w:w="1300" w:type="dxa"/>
            <w:tcBorders>
              <w:top w:val="nil"/>
              <w:left w:val="nil"/>
              <w:bottom w:val="nil"/>
              <w:right w:val="nil"/>
            </w:tcBorders>
            <w:shd w:val="clear" w:color="auto" w:fill="auto"/>
            <w:noWrap/>
            <w:vAlign w:val="bottom"/>
            <w:hideMark/>
          </w:tcPr>
          <w:p w14:paraId="1B201649" w14:textId="77777777" w:rsidR="00D4428E" w:rsidRPr="00ED0E0F" w:rsidRDefault="00D4428E" w:rsidP="003E4D50">
            <w:pPr>
              <w:jc w:val="right"/>
              <w:rPr>
                <w:rFonts w:eastAsia="Times New Roman"/>
                <w:color w:val="000000"/>
              </w:rPr>
            </w:pPr>
            <w:r w:rsidRPr="00ED0E0F">
              <w:rPr>
                <w:rFonts w:eastAsia="Times New Roman"/>
                <w:color w:val="000000"/>
              </w:rPr>
              <w:t>252</w:t>
            </w:r>
          </w:p>
        </w:tc>
        <w:tc>
          <w:tcPr>
            <w:tcW w:w="1420" w:type="dxa"/>
            <w:tcBorders>
              <w:top w:val="nil"/>
              <w:left w:val="nil"/>
              <w:bottom w:val="nil"/>
              <w:right w:val="nil"/>
            </w:tcBorders>
            <w:shd w:val="clear" w:color="auto" w:fill="auto"/>
            <w:noWrap/>
            <w:vAlign w:val="bottom"/>
            <w:hideMark/>
          </w:tcPr>
          <w:p w14:paraId="3903B0AF" w14:textId="77777777" w:rsidR="00D4428E" w:rsidRPr="00ED0E0F" w:rsidRDefault="00D4428E" w:rsidP="003E4D50">
            <w:pPr>
              <w:jc w:val="right"/>
              <w:rPr>
                <w:rFonts w:eastAsia="Times New Roman"/>
                <w:color w:val="000000"/>
              </w:rPr>
            </w:pPr>
            <w:r w:rsidRPr="00ED0E0F">
              <w:rPr>
                <w:rFonts w:eastAsia="Times New Roman"/>
                <w:color w:val="000000"/>
              </w:rPr>
              <w:t>-2.4</w:t>
            </w:r>
          </w:p>
        </w:tc>
        <w:tc>
          <w:tcPr>
            <w:tcW w:w="1300" w:type="dxa"/>
            <w:tcBorders>
              <w:top w:val="nil"/>
              <w:left w:val="nil"/>
              <w:bottom w:val="nil"/>
              <w:right w:val="nil"/>
            </w:tcBorders>
            <w:shd w:val="clear" w:color="auto" w:fill="auto"/>
            <w:noWrap/>
            <w:vAlign w:val="bottom"/>
            <w:hideMark/>
          </w:tcPr>
          <w:p w14:paraId="5D9DEBF6" w14:textId="77777777" w:rsidR="00D4428E" w:rsidRPr="00ED0E0F" w:rsidRDefault="00D4428E" w:rsidP="003E4D50">
            <w:pPr>
              <w:jc w:val="right"/>
              <w:rPr>
                <w:rFonts w:eastAsia="Times New Roman"/>
                <w:color w:val="000000"/>
              </w:rPr>
            </w:pPr>
            <w:r w:rsidRPr="00ED0E0F">
              <w:rPr>
                <w:rFonts w:eastAsia="Times New Roman"/>
                <w:color w:val="000000"/>
              </w:rPr>
              <w:t>2.4</w:t>
            </w:r>
          </w:p>
        </w:tc>
      </w:tr>
      <w:tr w:rsidR="00D4428E" w:rsidRPr="00ED0E0F" w14:paraId="5D916371" w14:textId="77777777" w:rsidTr="003E4D50">
        <w:trPr>
          <w:trHeight w:val="300"/>
        </w:trPr>
        <w:tc>
          <w:tcPr>
            <w:tcW w:w="1979" w:type="dxa"/>
            <w:tcBorders>
              <w:top w:val="nil"/>
              <w:left w:val="nil"/>
              <w:bottom w:val="nil"/>
              <w:right w:val="nil"/>
            </w:tcBorders>
            <w:shd w:val="clear" w:color="auto" w:fill="auto"/>
            <w:noWrap/>
            <w:vAlign w:val="bottom"/>
            <w:hideMark/>
          </w:tcPr>
          <w:p w14:paraId="49690553" w14:textId="77777777" w:rsidR="00D4428E" w:rsidRPr="00ED0E0F" w:rsidRDefault="00D4428E" w:rsidP="003E4D50">
            <w:pPr>
              <w:rPr>
                <w:rFonts w:eastAsia="Times New Roman"/>
                <w:color w:val="000000"/>
              </w:rPr>
            </w:pPr>
            <w:r w:rsidRPr="00ED0E0F">
              <w:rPr>
                <w:rFonts w:eastAsia="Times New Roman"/>
                <w:color w:val="000000"/>
              </w:rPr>
              <w:t xml:space="preserve">    10 to 14 years</w:t>
            </w:r>
          </w:p>
        </w:tc>
        <w:tc>
          <w:tcPr>
            <w:tcW w:w="1300" w:type="dxa"/>
            <w:tcBorders>
              <w:top w:val="nil"/>
              <w:left w:val="nil"/>
              <w:bottom w:val="nil"/>
              <w:right w:val="nil"/>
            </w:tcBorders>
            <w:shd w:val="clear" w:color="auto" w:fill="auto"/>
            <w:noWrap/>
            <w:vAlign w:val="bottom"/>
            <w:hideMark/>
          </w:tcPr>
          <w:p w14:paraId="5CFE0D34" w14:textId="77777777" w:rsidR="00D4428E" w:rsidRPr="00ED0E0F" w:rsidRDefault="00D4428E" w:rsidP="003E4D50">
            <w:pPr>
              <w:jc w:val="right"/>
              <w:rPr>
                <w:rFonts w:eastAsia="Times New Roman"/>
                <w:color w:val="000000"/>
              </w:rPr>
            </w:pPr>
            <w:r w:rsidRPr="00ED0E0F">
              <w:rPr>
                <w:rFonts w:eastAsia="Times New Roman"/>
                <w:color w:val="000000"/>
              </w:rPr>
              <w:t>124</w:t>
            </w:r>
          </w:p>
        </w:tc>
        <w:tc>
          <w:tcPr>
            <w:tcW w:w="1347" w:type="dxa"/>
            <w:tcBorders>
              <w:top w:val="nil"/>
              <w:left w:val="nil"/>
              <w:bottom w:val="nil"/>
              <w:right w:val="nil"/>
            </w:tcBorders>
            <w:shd w:val="clear" w:color="auto" w:fill="auto"/>
            <w:noWrap/>
            <w:vAlign w:val="bottom"/>
            <w:hideMark/>
          </w:tcPr>
          <w:p w14:paraId="194D6BBE" w14:textId="77777777" w:rsidR="00D4428E" w:rsidRPr="00ED0E0F" w:rsidRDefault="00D4428E" w:rsidP="003E4D50">
            <w:pPr>
              <w:jc w:val="right"/>
              <w:rPr>
                <w:rFonts w:eastAsia="Times New Roman"/>
                <w:color w:val="000000"/>
              </w:rPr>
            </w:pPr>
            <w:r w:rsidRPr="00ED0E0F">
              <w:rPr>
                <w:rFonts w:eastAsia="Times New Roman"/>
                <w:color w:val="000000"/>
              </w:rPr>
              <w:t>117</w:t>
            </w:r>
          </w:p>
        </w:tc>
        <w:tc>
          <w:tcPr>
            <w:tcW w:w="1300" w:type="dxa"/>
            <w:tcBorders>
              <w:top w:val="nil"/>
              <w:left w:val="nil"/>
              <w:bottom w:val="nil"/>
              <w:right w:val="nil"/>
            </w:tcBorders>
            <w:shd w:val="clear" w:color="auto" w:fill="auto"/>
            <w:noWrap/>
            <w:vAlign w:val="bottom"/>
            <w:hideMark/>
          </w:tcPr>
          <w:p w14:paraId="4A2B286C" w14:textId="77777777" w:rsidR="00D4428E" w:rsidRPr="00ED0E0F" w:rsidRDefault="00D4428E" w:rsidP="003E4D50">
            <w:pPr>
              <w:jc w:val="right"/>
              <w:rPr>
                <w:rFonts w:eastAsia="Times New Roman"/>
                <w:color w:val="000000"/>
              </w:rPr>
            </w:pPr>
            <w:r w:rsidRPr="00ED0E0F">
              <w:rPr>
                <w:rFonts w:eastAsia="Times New Roman"/>
                <w:color w:val="000000"/>
              </w:rPr>
              <w:t>241</w:t>
            </w:r>
          </w:p>
        </w:tc>
        <w:tc>
          <w:tcPr>
            <w:tcW w:w="1420" w:type="dxa"/>
            <w:tcBorders>
              <w:top w:val="nil"/>
              <w:left w:val="nil"/>
              <w:bottom w:val="nil"/>
              <w:right w:val="nil"/>
            </w:tcBorders>
            <w:shd w:val="clear" w:color="auto" w:fill="auto"/>
            <w:noWrap/>
            <w:vAlign w:val="bottom"/>
            <w:hideMark/>
          </w:tcPr>
          <w:p w14:paraId="74BA8D40" w14:textId="77777777" w:rsidR="00D4428E" w:rsidRPr="00ED0E0F" w:rsidRDefault="00D4428E" w:rsidP="003E4D50">
            <w:pPr>
              <w:jc w:val="right"/>
              <w:rPr>
                <w:rFonts w:eastAsia="Times New Roman"/>
                <w:color w:val="000000"/>
              </w:rPr>
            </w:pPr>
            <w:r w:rsidRPr="00ED0E0F">
              <w:rPr>
                <w:rFonts w:eastAsia="Times New Roman"/>
                <w:color w:val="000000"/>
              </w:rPr>
              <w:t>-2.3</w:t>
            </w:r>
          </w:p>
        </w:tc>
        <w:tc>
          <w:tcPr>
            <w:tcW w:w="1300" w:type="dxa"/>
            <w:tcBorders>
              <w:top w:val="nil"/>
              <w:left w:val="nil"/>
              <w:bottom w:val="nil"/>
              <w:right w:val="nil"/>
            </w:tcBorders>
            <w:shd w:val="clear" w:color="auto" w:fill="auto"/>
            <w:noWrap/>
            <w:vAlign w:val="bottom"/>
            <w:hideMark/>
          </w:tcPr>
          <w:p w14:paraId="33C9BE2C" w14:textId="77777777" w:rsidR="00D4428E" w:rsidRPr="00ED0E0F" w:rsidRDefault="00D4428E" w:rsidP="003E4D50">
            <w:pPr>
              <w:jc w:val="right"/>
              <w:rPr>
                <w:rFonts w:eastAsia="Times New Roman"/>
                <w:color w:val="000000"/>
              </w:rPr>
            </w:pPr>
            <w:r w:rsidRPr="00ED0E0F">
              <w:rPr>
                <w:rFonts w:eastAsia="Times New Roman"/>
                <w:color w:val="000000"/>
              </w:rPr>
              <w:t>2.2</w:t>
            </w:r>
          </w:p>
        </w:tc>
      </w:tr>
      <w:tr w:rsidR="00D4428E" w:rsidRPr="00ED0E0F" w14:paraId="4CF7CD85" w14:textId="77777777" w:rsidTr="003E4D50">
        <w:trPr>
          <w:trHeight w:val="300"/>
        </w:trPr>
        <w:tc>
          <w:tcPr>
            <w:tcW w:w="1979" w:type="dxa"/>
            <w:tcBorders>
              <w:top w:val="nil"/>
              <w:left w:val="nil"/>
              <w:bottom w:val="nil"/>
              <w:right w:val="nil"/>
            </w:tcBorders>
            <w:shd w:val="clear" w:color="auto" w:fill="auto"/>
            <w:noWrap/>
            <w:vAlign w:val="bottom"/>
            <w:hideMark/>
          </w:tcPr>
          <w:p w14:paraId="2DA0CE81" w14:textId="77777777" w:rsidR="00D4428E" w:rsidRPr="00ED0E0F" w:rsidRDefault="00D4428E" w:rsidP="003E4D50">
            <w:pPr>
              <w:rPr>
                <w:rFonts w:eastAsia="Times New Roman"/>
                <w:color w:val="000000"/>
              </w:rPr>
            </w:pPr>
            <w:r w:rsidRPr="00ED0E0F">
              <w:rPr>
                <w:rFonts w:eastAsia="Times New Roman"/>
                <w:color w:val="000000"/>
              </w:rPr>
              <w:t xml:space="preserve">    15 to 19 years</w:t>
            </w:r>
          </w:p>
        </w:tc>
        <w:tc>
          <w:tcPr>
            <w:tcW w:w="1300" w:type="dxa"/>
            <w:tcBorders>
              <w:top w:val="nil"/>
              <w:left w:val="nil"/>
              <w:bottom w:val="nil"/>
              <w:right w:val="nil"/>
            </w:tcBorders>
            <w:shd w:val="clear" w:color="auto" w:fill="auto"/>
            <w:noWrap/>
            <w:vAlign w:val="bottom"/>
            <w:hideMark/>
          </w:tcPr>
          <w:p w14:paraId="0D1EE649" w14:textId="77777777" w:rsidR="00D4428E" w:rsidRPr="00ED0E0F" w:rsidRDefault="00D4428E" w:rsidP="003E4D50">
            <w:pPr>
              <w:jc w:val="right"/>
              <w:rPr>
                <w:rFonts w:eastAsia="Times New Roman"/>
                <w:color w:val="000000"/>
              </w:rPr>
            </w:pPr>
            <w:r w:rsidRPr="00ED0E0F">
              <w:rPr>
                <w:rFonts w:eastAsia="Times New Roman"/>
                <w:color w:val="000000"/>
              </w:rPr>
              <w:t>320</w:t>
            </w:r>
          </w:p>
        </w:tc>
        <w:tc>
          <w:tcPr>
            <w:tcW w:w="1347" w:type="dxa"/>
            <w:tcBorders>
              <w:top w:val="nil"/>
              <w:left w:val="nil"/>
              <w:bottom w:val="nil"/>
              <w:right w:val="nil"/>
            </w:tcBorders>
            <w:shd w:val="clear" w:color="auto" w:fill="auto"/>
            <w:noWrap/>
            <w:vAlign w:val="bottom"/>
            <w:hideMark/>
          </w:tcPr>
          <w:p w14:paraId="75753391" w14:textId="77777777" w:rsidR="00D4428E" w:rsidRPr="00ED0E0F" w:rsidRDefault="00D4428E" w:rsidP="003E4D50">
            <w:pPr>
              <w:jc w:val="right"/>
              <w:rPr>
                <w:rFonts w:eastAsia="Times New Roman"/>
                <w:color w:val="000000"/>
              </w:rPr>
            </w:pPr>
            <w:r w:rsidRPr="00ED0E0F">
              <w:rPr>
                <w:rFonts w:eastAsia="Times New Roman"/>
                <w:color w:val="000000"/>
              </w:rPr>
              <w:t>389</w:t>
            </w:r>
          </w:p>
        </w:tc>
        <w:tc>
          <w:tcPr>
            <w:tcW w:w="1300" w:type="dxa"/>
            <w:tcBorders>
              <w:top w:val="nil"/>
              <w:left w:val="nil"/>
              <w:bottom w:val="nil"/>
              <w:right w:val="nil"/>
            </w:tcBorders>
            <w:shd w:val="clear" w:color="auto" w:fill="auto"/>
            <w:noWrap/>
            <w:vAlign w:val="bottom"/>
            <w:hideMark/>
          </w:tcPr>
          <w:p w14:paraId="2C483298" w14:textId="77777777" w:rsidR="00D4428E" w:rsidRPr="00ED0E0F" w:rsidRDefault="00D4428E" w:rsidP="003E4D50">
            <w:pPr>
              <w:jc w:val="right"/>
              <w:rPr>
                <w:rFonts w:eastAsia="Times New Roman"/>
                <w:color w:val="000000"/>
              </w:rPr>
            </w:pPr>
            <w:r w:rsidRPr="00ED0E0F">
              <w:rPr>
                <w:rFonts w:eastAsia="Times New Roman"/>
                <w:color w:val="000000"/>
              </w:rPr>
              <w:t>709</w:t>
            </w:r>
          </w:p>
        </w:tc>
        <w:tc>
          <w:tcPr>
            <w:tcW w:w="1420" w:type="dxa"/>
            <w:tcBorders>
              <w:top w:val="nil"/>
              <w:left w:val="nil"/>
              <w:bottom w:val="nil"/>
              <w:right w:val="nil"/>
            </w:tcBorders>
            <w:shd w:val="clear" w:color="auto" w:fill="auto"/>
            <w:noWrap/>
            <w:vAlign w:val="bottom"/>
            <w:hideMark/>
          </w:tcPr>
          <w:p w14:paraId="68C9C0DE" w14:textId="77777777" w:rsidR="00D4428E" w:rsidRPr="00ED0E0F" w:rsidRDefault="00D4428E" w:rsidP="003E4D50">
            <w:pPr>
              <w:jc w:val="right"/>
              <w:rPr>
                <w:rFonts w:eastAsia="Times New Roman"/>
                <w:color w:val="000000"/>
              </w:rPr>
            </w:pPr>
            <w:r w:rsidRPr="00ED0E0F">
              <w:rPr>
                <w:rFonts w:eastAsia="Times New Roman"/>
                <w:color w:val="000000"/>
              </w:rPr>
              <w:t>-6.1</w:t>
            </w:r>
          </w:p>
        </w:tc>
        <w:tc>
          <w:tcPr>
            <w:tcW w:w="1300" w:type="dxa"/>
            <w:tcBorders>
              <w:top w:val="nil"/>
              <w:left w:val="nil"/>
              <w:bottom w:val="nil"/>
              <w:right w:val="nil"/>
            </w:tcBorders>
            <w:shd w:val="clear" w:color="auto" w:fill="auto"/>
            <w:noWrap/>
            <w:vAlign w:val="bottom"/>
            <w:hideMark/>
          </w:tcPr>
          <w:p w14:paraId="1EF8E1B6" w14:textId="77777777" w:rsidR="00D4428E" w:rsidRPr="00ED0E0F" w:rsidRDefault="00D4428E" w:rsidP="003E4D50">
            <w:pPr>
              <w:jc w:val="right"/>
              <w:rPr>
                <w:rFonts w:eastAsia="Times New Roman"/>
                <w:color w:val="000000"/>
              </w:rPr>
            </w:pPr>
            <w:r w:rsidRPr="00ED0E0F">
              <w:rPr>
                <w:rFonts w:eastAsia="Times New Roman"/>
                <w:color w:val="000000"/>
              </w:rPr>
              <w:t>7.4</w:t>
            </w:r>
          </w:p>
        </w:tc>
      </w:tr>
      <w:tr w:rsidR="00D4428E" w:rsidRPr="00ED0E0F" w14:paraId="66A10C1A" w14:textId="77777777" w:rsidTr="003E4D50">
        <w:trPr>
          <w:trHeight w:val="300"/>
        </w:trPr>
        <w:tc>
          <w:tcPr>
            <w:tcW w:w="1979" w:type="dxa"/>
            <w:tcBorders>
              <w:top w:val="nil"/>
              <w:left w:val="nil"/>
              <w:bottom w:val="nil"/>
              <w:right w:val="nil"/>
            </w:tcBorders>
            <w:shd w:val="clear" w:color="auto" w:fill="auto"/>
            <w:noWrap/>
            <w:vAlign w:val="bottom"/>
            <w:hideMark/>
          </w:tcPr>
          <w:p w14:paraId="59944F51" w14:textId="77777777" w:rsidR="00D4428E" w:rsidRPr="00ED0E0F" w:rsidRDefault="00D4428E" w:rsidP="003E4D50">
            <w:pPr>
              <w:rPr>
                <w:rFonts w:eastAsia="Times New Roman"/>
                <w:color w:val="000000"/>
              </w:rPr>
            </w:pPr>
            <w:r w:rsidRPr="00ED0E0F">
              <w:rPr>
                <w:rFonts w:eastAsia="Times New Roman"/>
                <w:color w:val="000000"/>
              </w:rPr>
              <w:t xml:space="preserve">    20 to 24 years</w:t>
            </w:r>
          </w:p>
        </w:tc>
        <w:tc>
          <w:tcPr>
            <w:tcW w:w="1300" w:type="dxa"/>
            <w:tcBorders>
              <w:top w:val="nil"/>
              <w:left w:val="nil"/>
              <w:bottom w:val="nil"/>
              <w:right w:val="nil"/>
            </w:tcBorders>
            <w:shd w:val="clear" w:color="auto" w:fill="auto"/>
            <w:noWrap/>
            <w:vAlign w:val="bottom"/>
            <w:hideMark/>
          </w:tcPr>
          <w:p w14:paraId="29B3B4C3" w14:textId="77777777" w:rsidR="00D4428E" w:rsidRPr="00ED0E0F" w:rsidRDefault="00D4428E" w:rsidP="003E4D50">
            <w:pPr>
              <w:jc w:val="right"/>
              <w:rPr>
                <w:rFonts w:eastAsia="Times New Roman"/>
                <w:color w:val="000000"/>
              </w:rPr>
            </w:pPr>
            <w:r w:rsidRPr="00ED0E0F">
              <w:rPr>
                <w:rFonts w:eastAsia="Times New Roman"/>
                <w:color w:val="000000"/>
              </w:rPr>
              <w:t>499</w:t>
            </w:r>
          </w:p>
        </w:tc>
        <w:tc>
          <w:tcPr>
            <w:tcW w:w="1347" w:type="dxa"/>
            <w:tcBorders>
              <w:top w:val="nil"/>
              <w:left w:val="nil"/>
              <w:bottom w:val="nil"/>
              <w:right w:val="nil"/>
            </w:tcBorders>
            <w:shd w:val="clear" w:color="auto" w:fill="auto"/>
            <w:noWrap/>
            <w:vAlign w:val="bottom"/>
            <w:hideMark/>
          </w:tcPr>
          <w:p w14:paraId="6E2A6A9D" w14:textId="77777777" w:rsidR="00D4428E" w:rsidRPr="00ED0E0F" w:rsidRDefault="00D4428E" w:rsidP="003E4D50">
            <w:pPr>
              <w:jc w:val="right"/>
              <w:rPr>
                <w:rFonts w:eastAsia="Times New Roman"/>
                <w:color w:val="000000"/>
              </w:rPr>
            </w:pPr>
            <w:r w:rsidRPr="00ED0E0F">
              <w:rPr>
                <w:rFonts w:eastAsia="Times New Roman"/>
                <w:color w:val="000000"/>
              </w:rPr>
              <w:t>551</w:t>
            </w:r>
          </w:p>
        </w:tc>
        <w:tc>
          <w:tcPr>
            <w:tcW w:w="1300" w:type="dxa"/>
            <w:tcBorders>
              <w:top w:val="nil"/>
              <w:left w:val="nil"/>
              <w:bottom w:val="nil"/>
              <w:right w:val="nil"/>
            </w:tcBorders>
            <w:shd w:val="clear" w:color="auto" w:fill="auto"/>
            <w:noWrap/>
            <w:vAlign w:val="bottom"/>
            <w:hideMark/>
          </w:tcPr>
          <w:p w14:paraId="6C48F7B4" w14:textId="77777777" w:rsidR="00D4428E" w:rsidRPr="00ED0E0F" w:rsidRDefault="00D4428E" w:rsidP="003E4D50">
            <w:pPr>
              <w:jc w:val="right"/>
              <w:rPr>
                <w:rFonts w:eastAsia="Times New Roman"/>
                <w:color w:val="000000"/>
              </w:rPr>
            </w:pPr>
            <w:r w:rsidRPr="00ED0E0F">
              <w:rPr>
                <w:rFonts w:eastAsia="Times New Roman"/>
                <w:color w:val="000000"/>
              </w:rPr>
              <w:t>1,050</w:t>
            </w:r>
          </w:p>
        </w:tc>
        <w:tc>
          <w:tcPr>
            <w:tcW w:w="1420" w:type="dxa"/>
            <w:tcBorders>
              <w:top w:val="nil"/>
              <w:left w:val="nil"/>
              <w:bottom w:val="nil"/>
              <w:right w:val="nil"/>
            </w:tcBorders>
            <w:shd w:val="clear" w:color="auto" w:fill="auto"/>
            <w:noWrap/>
            <w:vAlign w:val="bottom"/>
            <w:hideMark/>
          </w:tcPr>
          <w:p w14:paraId="4653992B" w14:textId="77777777" w:rsidR="00D4428E" w:rsidRPr="00ED0E0F" w:rsidRDefault="00D4428E" w:rsidP="003E4D50">
            <w:pPr>
              <w:jc w:val="right"/>
              <w:rPr>
                <w:rFonts w:eastAsia="Times New Roman"/>
                <w:color w:val="000000"/>
              </w:rPr>
            </w:pPr>
            <w:r w:rsidRPr="00ED0E0F">
              <w:rPr>
                <w:rFonts w:eastAsia="Times New Roman"/>
                <w:color w:val="000000"/>
              </w:rPr>
              <w:t>-9.4</w:t>
            </w:r>
          </w:p>
        </w:tc>
        <w:tc>
          <w:tcPr>
            <w:tcW w:w="1300" w:type="dxa"/>
            <w:tcBorders>
              <w:top w:val="nil"/>
              <w:left w:val="nil"/>
              <w:bottom w:val="nil"/>
              <w:right w:val="nil"/>
            </w:tcBorders>
            <w:shd w:val="clear" w:color="auto" w:fill="auto"/>
            <w:noWrap/>
            <w:vAlign w:val="bottom"/>
            <w:hideMark/>
          </w:tcPr>
          <w:p w14:paraId="1027EC4D" w14:textId="77777777" w:rsidR="00D4428E" w:rsidRPr="00ED0E0F" w:rsidRDefault="00D4428E" w:rsidP="003E4D50">
            <w:pPr>
              <w:jc w:val="right"/>
              <w:rPr>
                <w:rFonts w:eastAsia="Times New Roman"/>
                <w:color w:val="000000"/>
              </w:rPr>
            </w:pPr>
            <w:r w:rsidRPr="00ED0E0F">
              <w:rPr>
                <w:rFonts w:eastAsia="Times New Roman"/>
                <w:color w:val="000000"/>
              </w:rPr>
              <w:t>10.4</w:t>
            </w:r>
          </w:p>
        </w:tc>
      </w:tr>
      <w:tr w:rsidR="00D4428E" w:rsidRPr="00ED0E0F" w14:paraId="18DE52B2" w14:textId="77777777" w:rsidTr="003E4D50">
        <w:trPr>
          <w:trHeight w:val="300"/>
        </w:trPr>
        <w:tc>
          <w:tcPr>
            <w:tcW w:w="1979" w:type="dxa"/>
            <w:tcBorders>
              <w:top w:val="nil"/>
              <w:left w:val="nil"/>
              <w:bottom w:val="nil"/>
              <w:right w:val="nil"/>
            </w:tcBorders>
            <w:shd w:val="clear" w:color="auto" w:fill="auto"/>
            <w:noWrap/>
            <w:vAlign w:val="bottom"/>
            <w:hideMark/>
          </w:tcPr>
          <w:p w14:paraId="4B5A423F" w14:textId="77777777" w:rsidR="00D4428E" w:rsidRPr="00ED0E0F" w:rsidRDefault="00D4428E" w:rsidP="003E4D50">
            <w:pPr>
              <w:rPr>
                <w:rFonts w:eastAsia="Times New Roman"/>
                <w:color w:val="000000"/>
              </w:rPr>
            </w:pPr>
            <w:r w:rsidRPr="00ED0E0F">
              <w:rPr>
                <w:rFonts w:eastAsia="Times New Roman"/>
                <w:color w:val="000000"/>
              </w:rPr>
              <w:t xml:space="preserve">    25 to 29 years</w:t>
            </w:r>
          </w:p>
        </w:tc>
        <w:tc>
          <w:tcPr>
            <w:tcW w:w="1300" w:type="dxa"/>
            <w:tcBorders>
              <w:top w:val="nil"/>
              <w:left w:val="nil"/>
              <w:bottom w:val="nil"/>
              <w:right w:val="nil"/>
            </w:tcBorders>
            <w:shd w:val="clear" w:color="auto" w:fill="auto"/>
            <w:noWrap/>
            <w:vAlign w:val="bottom"/>
            <w:hideMark/>
          </w:tcPr>
          <w:p w14:paraId="60AC4DF1" w14:textId="77777777" w:rsidR="00D4428E" w:rsidRPr="00ED0E0F" w:rsidRDefault="00D4428E" w:rsidP="003E4D50">
            <w:pPr>
              <w:jc w:val="right"/>
              <w:rPr>
                <w:rFonts w:eastAsia="Times New Roman"/>
                <w:color w:val="000000"/>
              </w:rPr>
            </w:pPr>
            <w:r w:rsidRPr="00ED0E0F">
              <w:rPr>
                <w:rFonts w:eastAsia="Times New Roman"/>
                <w:color w:val="000000"/>
              </w:rPr>
              <w:t>146</w:t>
            </w:r>
          </w:p>
        </w:tc>
        <w:tc>
          <w:tcPr>
            <w:tcW w:w="1347" w:type="dxa"/>
            <w:tcBorders>
              <w:top w:val="nil"/>
              <w:left w:val="nil"/>
              <w:bottom w:val="nil"/>
              <w:right w:val="nil"/>
            </w:tcBorders>
            <w:shd w:val="clear" w:color="auto" w:fill="auto"/>
            <w:noWrap/>
            <w:vAlign w:val="bottom"/>
            <w:hideMark/>
          </w:tcPr>
          <w:p w14:paraId="4D36F556" w14:textId="77777777" w:rsidR="00D4428E" w:rsidRPr="00ED0E0F" w:rsidRDefault="00D4428E" w:rsidP="003E4D50">
            <w:pPr>
              <w:jc w:val="right"/>
              <w:rPr>
                <w:rFonts w:eastAsia="Times New Roman"/>
                <w:color w:val="000000"/>
              </w:rPr>
            </w:pPr>
            <w:r w:rsidRPr="00ED0E0F">
              <w:rPr>
                <w:rFonts w:eastAsia="Times New Roman"/>
                <w:color w:val="000000"/>
              </w:rPr>
              <w:t>128</w:t>
            </w:r>
          </w:p>
        </w:tc>
        <w:tc>
          <w:tcPr>
            <w:tcW w:w="1300" w:type="dxa"/>
            <w:tcBorders>
              <w:top w:val="nil"/>
              <w:left w:val="nil"/>
              <w:bottom w:val="nil"/>
              <w:right w:val="nil"/>
            </w:tcBorders>
            <w:shd w:val="clear" w:color="auto" w:fill="auto"/>
            <w:noWrap/>
            <w:vAlign w:val="bottom"/>
            <w:hideMark/>
          </w:tcPr>
          <w:p w14:paraId="506EB577" w14:textId="77777777" w:rsidR="00D4428E" w:rsidRPr="00ED0E0F" w:rsidRDefault="00D4428E" w:rsidP="003E4D50">
            <w:pPr>
              <w:jc w:val="right"/>
              <w:rPr>
                <w:rFonts w:eastAsia="Times New Roman"/>
                <w:color w:val="000000"/>
              </w:rPr>
            </w:pPr>
            <w:r w:rsidRPr="00ED0E0F">
              <w:rPr>
                <w:rFonts w:eastAsia="Times New Roman"/>
                <w:color w:val="000000"/>
              </w:rPr>
              <w:t>274</w:t>
            </w:r>
          </w:p>
        </w:tc>
        <w:tc>
          <w:tcPr>
            <w:tcW w:w="1420" w:type="dxa"/>
            <w:tcBorders>
              <w:top w:val="nil"/>
              <w:left w:val="nil"/>
              <w:bottom w:val="nil"/>
              <w:right w:val="nil"/>
            </w:tcBorders>
            <w:shd w:val="clear" w:color="auto" w:fill="auto"/>
            <w:noWrap/>
            <w:vAlign w:val="bottom"/>
            <w:hideMark/>
          </w:tcPr>
          <w:p w14:paraId="42346C2C" w14:textId="77777777" w:rsidR="00D4428E" w:rsidRPr="00ED0E0F" w:rsidRDefault="00D4428E" w:rsidP="003E4D50">
            <w:pPr>
              <w:jc w:val="right"/>
              <w:rPr>
                <w:rFonts w:eastAsia="Times New Roman"/>
                <w:color w:val="000000"/>
              </w:rPr>
            </w:pPr>
            <w:r w:rsidRPr="00ED0E0F">
              <w:rPr>
                <w:rFonts w:eastAsia="Times New Roman"/>
                <w:color w:val="000000"/>
              </w:rPr>
              <w:t>-2.8</w:t>
            </w:r>
          </w:p>
        </w:tc>
        <w:tc>
          <w:tcPr>
            <w:tcW w:w="1300" w:type="dxa"/>
            <w:tcBorders>
              <w:top w:val="nil"/>
              <w:left w:val="nil"/>
              <w:bottom w:val="nil"/>
              <w:right w:val="nil"/>
            </w:tcBorders>
            <w:shd w:val="clear" w:color="auto" w:fill="auto"/>
            <w:noWrap/>
            <w:vAlign w:val="bottom"/>
            <w:hideMark/>
          </w:tcPr>
          <w:p w14:paraId="7026BAEF" w14:textId="77777777" w:rsidR="00D4428E" w:rsidRPr="00ED0E0F" w:rsidRDefault="00D4428E" w:rsidP="003E4D50">
            <w:pPr>
              <w:jc w:val="right"/>
              <w:rPr>
                <w:rFonts w:eastAsia="Times New Roman"/>
                <w:color w:val="000000"/>
              </w:rPr>
            </w:pPr>
            <w:r w:rsidRPr="00ED0E0F">
              <w:rPr>
                <w:rFonts w:eastAsia="Times New Roman"/>
                <w:color w:val="000000"/>
              </w:rPr>
              <w:t>2.4</w:t>
            </w:r>
          </w:p>
        </w:tc>
      </w:tr>
      <w:tr w:rsidR="00D4428E" w:rsidRPr="00ED0E0F" w14:paraId="36F8F4E6" w14:textId="77777777" w:rsidTr="003E4D50">
        <w:trPr>
          <w:trHeight w:val="300"/>
        </w:trPr>
        <w:tc>
          <w:tcPr>
            <w:tcW w:w="1979" w:type="dxa"/>
            <w:tcBorders>
              <w:top w:val="nil"/>
              <w:left w:val="nil"/>
              <w:bottom w:val="nil"/>
              <w:right w:val="nil"/>
            </w:tcBorders>
            <w:shd w:val="clear" w:color="auto" w:fill="auto"/>
            <w:noWrap/>
            <w:vAlign w:val="bottom"/>
            <w:hideMark/>
          </w:tcPr>
          <w:p w14:paraId="2417317C" w14:textId="77777777" w:rsidR="00D4428E" w:rsidRPr="00ED0E0F" w:rsidRDefault="00D4428E" w:rsidP="003E4D50">
            <w:pPr>
              <w:rPr>
                <w:rFonts w:eastAsia="Times New Roman"/>
                <w:color w:val="000000"/>
              </w:rPr>
            </w:pPr>
            <w:r w:rsidRPr="00ED0E0F">
              <w:rPr>
                <w:rFonts w:eastAsia="Times New Roman"/>
                <w:color w:val="000000"/>
              </w:rPr>
              <w:t xml:space="preserve">    30 to 34 years</w:t>
            </w:r>
          </w:p>
        </w:tc>
        <w:tc>
          <w:tcPr>
            <w:tcW w:w="1300" w:type="dxa"/>
            <w:tcBorders>
              <w:top w:val="nil"/>
              <w:left w:val="nil"/>
              <w:bottom w:val="nil"/>
              <w:right w:val="nil"/>
            </w:tcBorders>
            <w:shd w:val="clear" w:color="auto" w:fill="auto"/>
            <w:noWrap/>
            <w:vAlign w:val="bottom"/>
            <w:hideMark/>
          </w:tcPr>
          <w:p w14:paraId="28D22C14" w14:textId="77777777" w:rsidR="00D4428E" w:rsidRPr="00ED0E0F" w:rsidRDefault="00D4428E" w:rsidP="003E4D50">
            <w:pPr>
              <w:jc w:val="right"/>
              <w:rPr>
                <w:rFonts w:eastAsia="Times New Roman"/>
                <w:color w:val="000000"/>
              </w:rPr>
            </w:pPr>
            <w:r w:rsidRPr="00ED0E0F">
              <w:rPr>
                <w:rFonts w:eastAsia="Times New Roman"/>
                <w:color w:val="000000"/>
              </w:rPr>
              <w:t>124</w:t>
            </w:r>
          </w:p>
        </w:tc>
        <w:tc>
          <w:tcPr>
            <w:tcW w:w="1347" w:type="dxa"/>
            <w:tcBorders>
              <w:top w:val="nil"/>
              <w:left w:val="nil"/>
              <w:bottom w:val="nil"/>
              <w:right w:val="nil"/>
            </w:tcBorders>
            <w:shd w:val="clear" w:color="auto" w:fill="auto"/>
            <w:noWrap/>
            <w:vAlign w:val="bottom"/>
            <w:hideMark/>
          </w:tcPr>
          <w:p w14:paraId="21F1C06D" w14:textId="77777777" w:rsidR="00D4428E" w:rsidRPr="00ED0E0F" w:rsidRDefault="00D4428E" w:rsidP="003E4D50">
            <w:pPr>
              <w:jc w:val="right"/>
              <w:rPr>
                <w:rFonts w:eastAsia="Times New Roman"/>
                <w:color w:val="000000"/>
              </w:rPr>
            </w:pPr>
            <w:r w:rsidRPr="00ED0E0F">
              <w:rPr>
                <w:rFonts w:eastAsia="Times New Roman"/>
                <w:color w:val="000000"/>
              </w:rPr>
              <w:t>129</w:t>
            </w:r>
          </w:p>
        </w:tc>
        <w:tc>
          <w:tcPr>
            <w:tcW w:w="1300" w:type="dxa"/>
            <w:tcBorders>
              <w:top w:val="nil"/>
              <w:left w:val="nil"/>
              <w:bottom w:val="nil"/>
              <w:right w:val="nil"/>
            </w:tcBorders>
            <w:shd w:val="clear" w:color="auto" w:fill="auto"/>
            <w:noWrap/>
            <w:vAlign w:val="bottom"/>
            <w:hideMark/>
          </w:tcPr>
          <w:p w14:paraId="526FE22C" w14:textId="77777777" w:rsidR="00D4428E" w:rsidRPr="00ED0E0F" w:rsidRDefault="00D4428E" w:rsidP="003E4D50">
            <w:pPr>
              <w:jc w:val="right"/>
              <w:rPr>
                <w:rFonts w:eastAsia="Times New Roman"/>
                <w:color w:val="000000"/>
              </w:rPr>
            </w:pPr>
            <w:r w:rsidRPr="00ED0E0F">
              <w:rPr>
                <w:rFonts w:eastAsia="Times New Roman"/>
                <w:color w:val="000000"/>
              </w:rPr>
              <w:t>253</w:t>
            </w:r>
          </w:p>
        </w:tc>
        <w:tc>
          <w:tcPr>
            <w:tcW w:w="1420" w:type="dxa"/>
            <w:tcBorders>
              <w:top w:val="nil"/>
              <w:left w:val="nil"/>
              <w:bottom w:val="nil"/>
              <w:right w:val="nil"/>
            </w:tcBorders>
            <w:shd w:val="clear" w:color="auto" w:fill="auto"/>
            <w:noWrap/>
            <w:vAlign w:val="bottom"/>
            <w:hideMark/>
          </w:tcPr>
          <w:p w14:paraId="2944A440" w14:textId="77777777" w:rsidR="00D4428E" w:rsidRPr="00ED0E0F" w:rsidRDefault="00D4428E" w:rsidP="003E4D50">
            <w:pPr>
              <w:jc w:val="right"/>
              <w:rPr>
                <w:rFonts w:eastAsia="Times New Roman"/>
                <w:color w:val="000000"/>
              </w:rPr>
            </w:pPr>
            <w:r w:rsidRPr="00ED0E0F">
              <w:rPr>
                <w:rFonts w:eastAsia="Times New Roman"/>
                <w:color w:val="000000"/>
              </w:rPr>
              <w:t>-2.3</w:t>
            </w:r>
          </w:p>
        </w:tc>
        <w:tc>
          <w:tcPr>
            <w:tcW w:w="1300" w:type="dxa"/>
            <w:tcBorders>
              <w:top w:val="nil"/>
              <w:left w:val="nil"/>
              <w:bottom w:val="nil"/>
              <w:right w:val="nil"/>
            </w:tcBorders>
            <w:shd w:val="clear" w:color="auto" w:fill="auto"/>
            <w:noWrap/>
            <w:vAlign w:val="bottom"/>
            <w:hideMark/>
          </w:tcPr>
          <w:p w14:paraId="495E052A" w14:textId="77777777" w:rsidR="00D4428E" w:rsidRPr="00ED0E0F" w:rsidRDefault="00D4428E" w:rsidP="003E4D50">
            <w:pPr>
              <w:jc w:val="right"/>
              <w:rPr>
                <w:rFonts w:eastAsia="Times New Roman"/>
                <w:color w:val="000000"/>
              </w:rPr>
            </w:pPr>
            <w:r w:rsidRPr="00ED0E0F">
              <w:rPr>
                <w:rFonts w:eastAsia="Times New Roman"/>
                <w:color w:val="000000"/>
              </w:rPr>
              <w:t>2.4</w:t>
            </w:r>
          </w:p>
        </w:tc>
      </w:tr>
      <w:tr w:rsidR="00D4428E" w:rsidRPr="00ED0E0F" w14:paraId="4B44421F" w14:textId="77777777" w:rsidTr="003E4D50">
        <w:trPr>
          <w:trHeight w:val="300"/>
        </w:trPr>
        <w:tc>
          <w:tcPr>
            <w:tcW w:w="1979" w:type="dxa"/>
            <w:tcBorders>
              <w:top w:val="nil"/>
              <w:left w:val="nil"/>
              <w:bottom w:val="nil"/>
              <w:right w:val="nil"/>
            </w:tcBorders>
            <w:shd w:val="clear" w:color="auto" w:fill="auto"/>
            <w:noWrap/>
            <w:vAlign w:val="bottom"/>
            <w:hideMark/>
          </w:tcPr>
          <w:p w14:paraId="07D7F0D4" w14:textId="77777777" w:rsidR="00D4428E" w:rsidRPr="00ED0E0F" w:rsidRDefault="00D4428E" w:rsidP="003E4D50">
            <w:pPr>
              <w:rPr>
                <w:rFonts w:eastAsia="Times New Roman"/>
                <w:color w:val="000000"/>
              </w:rPr>
            </w:pPr>
            <w:r w:rsidRPr="00ED0E0F">
              <w:rPr>
                <w:rFonts w:eastAsia="Times New Roman"/>
                <w:color w:val="000000"/>
              </w:rPr>
              <w:t xml:space="preserve">    35 to 39 years</w:t>
            </w:r>
          </w:p>
        </w:tc>
        <w:tc>
          <w:tcPr>
            <w:tcW w:w="1300" w:type="dxa"/>
            <w:tcBorders>
              <w:top w:val="nil"/>
              <w:left w:val="nil"/>
              <w:bottom w:val="nil"/>
              <w:right w:val="nil"/>
            </w:tcBorders>
            <w:shd w:val="clear" w:color="auto" w:fill="auto"/>
            <w:noWrap/>
            <w:vAlign w:val="bottom"/>
            <w:hideMark/>
          </w:tcPr>
          <w:p w14:paraId="023E9D42" w14:textId="77777777" w:rsidR="00D4428E" w:rsidRPr="00ED0E0F" w:rsidRDefault="00D4428E" w:rsidP="003E4D50">
            <w:pPr>
              <w:jc w:val="right"/>
              <w:rPr>
                <w:rFonts w:eastAsia="Times New Roman"/>
                <w:color w:val="000000"/>
              </w:rPr>
            </w:pPr>
            <w:r w:rsidRPr="00ED0E0F">
              <w:rPr>
                <w:rFonts w:eastAsia="Times New Roman"/>
                <w:color w:val="000000"/>
              </w:rPr>
              <w:t>101</w:t>
            </w:r>
          </w:p>
        </w:tc>
        <w:tc>
          <w:tcPr>
            <w:tcW w:w="1347" w:type="dxa"/>
            <w:tcBorders>
              <w:top w:val="nil"/>
              <w:left w:val="nil"/>
              <w:bottom w:val="nil"/>
              <w:right w:val="nil"/>
            </w:tcBorders>
            <w:shd w:val="clear" w:color="auto" w:fill="auto"/>
            <w:noWrap/>
            <w:vAlign w:val="bottom"/>
            <w:hideMark/>
          </w:tcPr>
          <w:p w14:paraId="37238ED8" w14:textId="77777777" w:rsidR="00D4428E" w:rsidRPr="00ED0E0F" w:rsidRDefault="00D4428E" w:rsidP="003E4D50">
            <w:pPr>
              <w:jc w:val="right"/>
              <w:rPr>
                <w:rFonts w:eastAsia="Times New Roman"/>
                <w:color w:val="000000"/>
              </w:rPr>
            </w:pPr>
            <w:r w:rsidRPr="00ED0E0F">
              <w:rPr>
                <w:rFonts w:eastAsia="Times New Roman"/>
                <w:color w:val="000000"/>
              </w:rPr>
              <w:t>96</w:t>
            </w:r>
          </w:p>
        </w:tc>
        <w:tc>
          <w:tcPr>
            <w:tcW w:w="1300" w:type="dxa"/>
            <w:tcBorders>
              <w:top w:val="nil"/>
              <w:left w:val="nil"/>
              <w:bottom w:val="nil"/>
              <w:right w:val="nil"/>
            </w:tcBorders>
            <w:shd w:val="clear" w:color="auto" w:fill="auto"/>
            <w:noWrap/>
            <w:vAlign w:val="bottom"/>
            <w:hideMark/>
          </w:tcPr>
          <w:p w14:paraId="6A2BD234" w14:textId="77777777" w:rsidR="00D4428E" w:rsidRPr="00ED0E0F" w:rsidRDefault="00D4428E" w:rsidP="003E4D50">
            <w:pPr>
              <w:jc w:val="right"/>
              <w:rPr>
                <w:rFonts w:eastAsia="Times New Roman"/>
                <w:color w:val="000000"/>
              </w:rPr>
            </w:pPr>
            <w:r w:rsidRPr="00ED0E0F">
              <w:rPr>
                <w:rFonts w:eastAsia="Times New Roman"/>
                <w:color w:val="000000"/>
              </w:rPr>
              <w:t>197</w:t>
            </w:r>
          </w:p>
        </w:tc>
        <w:tc>
          <w:tcPr>
            <w:tcW w:w="1420" w:type="dxa"/>
            <w:tcBorders>
              <w:top w:val="nil"/>
              <w:left w:val="nil"/>
              <w:bottom w:val="nil"/>
              <w:right w:val="nil"/>
            </w:tcBorders>
            <w:shd w:val="clear" w:color="auto" w:fill="auto"/>
            <w:noWrap/>
            <w:vAlign w:val="bottom"/>
            <w:hideMark/>
          </w:tcPr>
          <w:p w14:paraId="2E2C0EA7" w14:textId="77777777" w:rsidR="00D4428E" w:rsidRPr="00ED0E0F" w:rsidRDefault="00D4428E" w:rsidP="003E4D50">
            <w:pPr>
              <w:jc w:val="right"/>
              <w:rPr>
                <w:rFonts w:eastAsia="Times New Roman"/>
                <w:color w:val="000000"/>
              </w:rPr>
            </w:pPr>
            <w:r w:rsidRPr="00ED0E0F">
              <w:rPr>
                <w:rFonts w:eastAsia="Times New Roman"/>
                <w:color w:val="000000"/>
              </w:rPr>
              <w:t>-1.9</w:t>
            </w:r>
          </w:p>
        </w:tc>
        <w:tc>
          <w:tcPr>
            <w:tcW w:w="1300" w:type="dxa"/>
            <w:tcBorders>
              <w:top w:val="nil"/>
              <w:left w:val="nil"/>
              <w:bottom w:val="nil"/>
              <w:right w:val="nil"/>
            </w:tcBorders>
            <w:shd w:val="clear" w:color="auto" w:fill="auto"/>
            <w:noWrap/>
            <w:vAlign w:val="bottom"/>
            <w:hideMark/>
          </w:tcPr>
          <w:p w14:paraId="6B3AD683" w14:textId="77777777" w:rsidR="00D4428E" w:rsidRPr="00ED0E0F" w:rsidRDefault="00D4428E" w:rsidP="003E4D50">
            <w:pPr>
              <w:jc w:val="right"/>
              <w:rPr>
                <w:rFonts w:eastAsia="Times New Roman"/>
                <w:color w:val="000000"/>
              </w:rPr>
            </w:pPr>
            <w:r w:rsidRPr="00ED0E0F">
              <w:rPr>
                <w:rFonts w:eastAsia="Times New Roman"/>
                <w:color w:val="000000"/>
              </w:rPr>
              <w:t>1.8</w:t>
            </w:r>
          </w:p>
        </w:tc>
      </w:tr>
      <w:tr w:rsidR="00D4428E" w:rsidRPr="00ED0E0F" w14:paraId="6770F0D0" w14:textId="77777777" w:rsidTr="003E4D50">
        <w:trPr>
          <w:trHeight w:val="300"/>
        </w:trPr>
        <w:tc>
          <w:tcPr>
            <w:tcW w:w="1979" w:type="dxa"/>
            <w:tcBorders>
              <w:top w:val="nil"/>
              <w:left w:val="nil"/>
              <w:bottom w:val="nil"/>
              <w:right w:val="nil"/>
            </w:tcBorders>
            <w:shd w:val="clear" w:color="auto" w:fill="auto"/>
            <w:noWrap/>
            <w:vAlign w:val="bottom"/>
            <w:hideMark/>
          </w:tcPr>
          <w:p w14:paraId="14A973B5" w14:textId="77777777" w:rsidR="00D4428E" w:rsidRPr="00ED0E0F" w:rsidRDefault="00D4428E" w:rsidP="003E4D50">
            <w:pPr>
              <w:rPr>
                <w:rFonts w:eastAsia="Times New Roman"/>
                <w:color w:val="000000"/>
              </w:rPr>
            </w:pPr>
            <w:r w:rsidRPr="00ED0E0F">
              <w:rPr>
                <w:rFonts w:eastAsia="Times New Roman"/>
                <w:color w:val="000000"/>
              </w:rPr>
              <w:t xml:space="preserve">    40 to 44 years</w:t>
            </w:r>
          </w:p>
        </w:tc>
        <w:tc>
          <w:tcPr>
            <w:tcW w:w="1300" w:type="dxa"/>
            <w:tcBorders>
              <w:top w:val="nil"/>
              <w:left w:val="nil"/>
              <w:bottom w:val="nil"/>
              <w:right w:val="nil"/>
            </w:tcBorders>
            <w:shd w:val="clear" w:color="auto" w:fill="auto"/>
            <w:noWrap/>
            <w:vAlign w:val="bottom"/>
            <w:hideMark/>
          </w:tcPr>
          <w:p w14:paraId="43C8B56E" w14:textId="77777777" w:rsidR="00D4428E" w:rsidRPr="00ED0E0F" w:rsidRDefault="00D4428E" w:rsidP="003E4D50">
            <w:pPr>
              <w:jc w:val="right"/>
              <w:rPr>
                <w:rFonts w:eastAsia="Times New Roman"/>
                <w:color w:val="000000"/>
              </w:rPr>
            </w:pPr>
            <w:r w:rsidRPr="00ED0E0F">
              <w:rPr>
                <w:rFonts w:eastAsia="Times New Roman"/>
                <w:color w:val="000000"/>
              </w:rPr>
              <w:t>88</w:t>
            </w:r>
          </w:p>
        </w:tc>
        <w:tc>
          <w:tcPr>
            <w:tcW w:w="1347" w:type="dxa"/>
            <w:tcBorders>
              <w:top w:val="nil"/>
              <w:left w:val="nil"/>
              <w:bottom w:val="nil"/>
              <w:right w:val="nil"/>
            </w:tcBorders>
            <w:shd w:val="clear" w:color="auto" w:fill="auto"/>
            <w:noWrap/>
            <w:vAlign w:val="bottom"/>
            <w:hideMark/>
          </w:tcPr>
          <w:p w14:paraId="05E50C2A" w14:textId="77777777" w:rsidR="00D4428E" w:rsidRPr="00ED0E0F" w:rsidRDefault="00D4428E" w:rsidP="003E4D50">
            <w:pPr>
              <w:jc w:val="right"/>
              <w:rPr>
                <w:rFonts w:eastAsia="Times New Roman"/>
                <w:color w:val="000000"/>
              </w:rPr>
            </w:pPr>
            <w:r w:rsidRPr="00ED0E0F">
              <w:rPr>
                <w:rFonts w:eastAsia="Times New Roman"/>
                <w:color w:val="000000"/>
              </w:rPr>
              <w:t>109</w:t>
            </w:r>
          </w:p>
        </w:tc>
        <w:tc>
          <w:tcPr>
            <w:tcW w:w="1300" w:type="dxa"/>
            <w:tcBorders>
              <w:top w:val="nil"/>
              <w:left w:val="nil"/>
              <w:bottom w:val="nil"/>
              <w:right w:val="nil"/>
            </w:tcBorders>
            <w:shd w:val="clear" w:color="auto" w:fill="auto"/>
            <w:noWrap/>
            <w:vAlign w:val="bottom"/>
            <w:hideMark/>
          </w:tcPr>
          <w:p w14:paraId="3F105A82" w14:textId="77777777" w:rsidR="00D4428E" w:rsidRPr="00ED0E0F" w:rsidRDefault="00D4428E" w:rsidP="003E4D50">
            <w:pPr>
              <w:jc w:val="right"/>
              <w:rPr>
                <w:rFonts w:eastAsia="Times New Roman"/>
                <w:color w:val="000000"/>
              </w:rPr>
            </w:pPr>
            <w:r w:rsidRPr="00ED0E0F">
              <w:rPr>
                <w:rFonts w:eastAsia="Times New Roman"/>
                <w:color w:val="000000"/>
              </w:rPr>
              <w:t>197</w:t>
            </w:r>
          </w:p>
        </w:tc>
        <w:tc>
          <w:tcPr>
            <w:tcW w:w="1420" w:type="dxa"/>
            <w:tcBorders>
              <w:top w:val="nil"/>
              <w:left w:val="nil"/>
              <w:bottom w:val="nil"/>
              <w:right w:val="nil"/>
            </w:tcBorders>
            <w:shd w:val="clear" w:color="auto" w:fill="auto"/>
            <w:noWrap/>
            <w:vAlign w:val="bottom"/>
            <w:hideMark/>
          </w:tcPr>
          <w:p w14:paraId="716D105B" w14:textId="77777777" w:rsidR="00D4428E" w:rsidRPr="00ED0E0F" w:rsidRDefault="00D4428E" w:rsidP="003E4D50">
            <w:pPr>
              <w:jc w:val="right"/>
              <w:rPr>
                <w:rFonts w:eastAsia="Times New Roman"/>
                <w:color w:val="000000"/>
              </w:rPr>
            </w:pPr>
            <w:r w:rsidRPr="00ED0E0F">
              <w:rPr>
                <w:rFonts w:eastAsia="Times New Roman"/>
                <w:color w:val="000000"/>
              </w:rPr>
              <w:t>-1.7</w:t>
            </w:r>
          </w:p>
        </w:tc>
        <w:tc>
          <w:tcPr>
            <w:tcW w:w="1300" w:type="dxa"/>
            <w:tcBorders>
              <w:top w:val="nil"/>
              <w:left w:val="nil"/>
              <w:bottom w:val="nil"/>
              <w:right w:val="nil"/>
            </w:tcBorders>
            <w:shd w:val="clear" w:color="auto" w:fill="auto"/>
            <w:noWrap/>
            <w:vAlign w:val="bottom"/>
            <w:hideMark/>
          </w:tcPr>
          <w:p w14:paraId="001958D1" w14:textId="77777777" w:rsidR="00D4428E" w:rsidRPr="00ED0E0F" w:rsidRDefault="00D4428E" w:rsidP="003E4D50">
            <w:pPr>
              <w:jc w:val="right"/>
              <w:rPr>
                <w:rFonts w:eastAsia="Times New Roman"/>
                <w:color w:val="000000"/>
              </w:rPr>
            </w:pPr>
            <w:r w:rsidRPr="00ED0E0F">
              <w:rPr>
                <w:rFonts w:eastAsia="Times New Roman"/>
                <w:color w:val="000000"/>
              </w:rPr>
              <w:t>2.1</w:t>
            </w:r>
          </w:p>
        </w:tc>
      </w:tr>
      <w:tr w:rsidR="00D4428E" w:rsidRPr="00ED0E0F" w14:paraId="23F2AD1E" w14:textId="77777777" w:rsidTr="003E4D50">
        <w:trPr>
          <w:trHeight w:val="300"/>
        </w:trPr>
        <w:tc>
          <w:tcPr>
            <w:tcW w:w="1979" w:type="dxa"/>
            <w:tcBorders>
              <w:top w:val="nil"/>
              <w:left w:val="nil"/>
              <w:bottom w:val="nil"/>
              <w:right w:val="nil"/>
            </w:tcBorders>
            <w:shd w:val="clear" w:color="auto" w:fill="auto"/>
            <w:noWrap/>
            <w:vAlign w:val="bottom"/>
            <w:hideMark/>
          </w:tcPr>
          <w:p w14:paraId="72D33FD1" w14:textId="77777777" w:rsidR="00D4428E" w:rsidRPr="00ED0E0F" w:rsidRDefault="00D4428E" w:rsidP="003E4D50">
            <w:pPr>
              <w:rPr>
                <w:rFonts w:eastAsia="Times New Roman"/>
                <w:color w:val="000000"/>
              </w:rPr>
            </w:pPr>
            <w:r w:rsidRPr="00ED0E0F">
              <w:rPr>
                <w:rFonts w:eastAsia="Times New Roman"/>
                <w:color w:val="000000"/>
              </w:rPr>
              <w:t xml:space="preserve">    45 to 49 years</w:t>
            </w:r>
          </w:p>
        </w:tc>
        <w:tc>
          <w:tcPr>
            <w:tcW w:w="1300" w:type="dxa"/>
            <w:tcBorders>
              <w:top w:val="nil"/>
              <w:left w:val="nil"/>
              <w:bottom w:val="nil"/>
              <w:right w:val="nil"/>
            </w:tcBorders>
            <w:shd w:val="clear" w:color="auto" w:fill="auto"/>
            <w:noWrap/>
            <w:vAlign w:val="bottom"/>
            <w:hideMark/>
          </w:tcPr>
          <w:p w14:paraId="2D441DC0" w14:textId="77777777" w:rsidR="00D4428E" w:rsidRPr="00ED0E0F" w:rsidRDefault="00D4428E" w:rsidP="003E4D50">
            <w:pPr>
              <w:jc w:val="right"/>
              <w:rPr>
                <w:rFonts w:eastAsia="Times New Roman"/>
                <w:color w:val="000000"/>
              </w:rPr>
            </w:pPr>
            <w:r w:rsidRPr="00ED0E0F">
              <w:rPr>
                <w:rFonts w:eastAsia="Times New Roman"/>
                <w:color w:val="000000"/>
              </w:rPr>
              <w:t>122</w:t>
            </w:r>
          </w:p>
        </w:tc>
        <w:tc>
          <w:tcPr>
            <w:tcW w:w="1347" w:type="dxa"/>
            <w:tcBorders>
              <w:top w:val="nil"/>
              <w:left w:val="nil"/>
              <w:bottom w:val="nil"/>
              <w:right w:val="nil"/>
            </w:tcBorders>
            <w:shd w:val="clear" w:color="auto" w:fill="auto"/>
            <w:noWrap/>
            <w:vAlign w:val="bottom"/>
            <w:hideMark/>
          </w:tcPr>
          <w:p w14:paraId="29362D16" w14:textId="77777777" w:rsidR="00D4428E" w:rsidRPr="00ED0E0F" w:rsidRDefault="00D4428E" w:rsidP="003E4D50">
            <w:pPr>
              <w:jc w:val="right"/>
              <w:rPr>
                <w:rFonts w:eastAsia="Times New Roman"/>
                <w:color w:val="000000"/>
              </w:rPr>
            </w:pPr>
            <w:r w:rsidRPr="00ED0E0F">
              <w:rPr>
                <w:rFonts w:eastAsia="Times New Roman"/>
                <w:color w:val="000000"/>
              </w:rPr>
              <w:t>116</w:t>
            </w:r>
          </w:p>
        </w:tc>
        <w:tc>
          <w:tcPr>
            <w:tcW w:w="1300" w:type="dxa"/>
            <w:tcBorders>
              <w:top w:val="nil"/>
              <w:left w:val="nil"/>
              <w:bottom w:val="nil"/>
              <w:right w:val="nil"/>
            </w:tcBorders>
            <w:shd w:val="clear" w:color="auto" w:fill="auto"/>
            <w:noWrap/>
            <w:vAlign w:val="bottom"/>
            <w:hideMark/>
          </w:tcPr>
          <w:p w14:paraId="1E6C72C5" w14:textId="77777777" w:rsidR="00D4428E" w:rsidRPr="00ED0E0F" w:rsidRDefault="00D4428E" w:rsidP="003E4D50">
            <w:pPr>
              <w:jc w:val="right"/>
              <w:rPr>
                <w:rFonts w:eastAsia="Times New Roman"/>
                <w:color w:val="000000"/>
              </w:rPr>
            </w:pPr>
            <w:r w:rsidRPr="00ED0E0F">
              <w:rPr>
                <w:rFonts w:eastAsia="Times New Roman"/>
                <w:color w:val="000000"/>
              </w:rPr>
              <w:t>238</w:t>
            </w:r>
          </w:p>
        </w:tc>
        <w:tc>
          <w:tcPr>
            <w:tcW w:w="1420" w:type="dxa"/>
            <w:tcBorders>
              <w:top w:val="nil"/>
              <w:left w:val="nil"/>
              <w:bottom w:val="nil"/>
              <w:right w:val="nil"/>
            </w:tcBorders>
            <w:shd w:val="clear" w:color="auto" w:fill="auto"/>
            <w:noWrap/>
            <w:vAlign w:val="bottom"/>
            <w:hideMark/>
          </w:tcPr>
          <w:p w14:paraId="417BB7DF" w14:textId="77777777" w:rsidR="00D4428E" w:rsidRPr="00ED0E0F" w:rsidRDefault="00D4428E" w:rsidP="003E4D50">
            <w:pPr>
              <w:jc w:val="right"/>
              <w:rPr>
                <w:rFonts w:eastAsia="Times New Roman"/>
                <w:color w:val="000000"/>
              </w:rPr>
            </w:pPr>
            <w:r w:rsidRPr="00ED0E0F">
              <w:rPr>
                <w:rFonts w:eastAsia="Times New Roman"/>
                <w:color w:val="000000"/>
              </w:rPr>
              <w:t>-2.3</w:t>
            </w:r>
          </w:p>
        </w:tc>
        <w:tc>
          <w:tcPr>
            <w:tcW w:w="1300" w:type="dxa"/>
            <w:tcBorders>
              <w:top w:val="nil"/>
              <w:left w:val="nil"/>
              <w:bottom w:val="nil"/>
              <w:right w:val="nil"/>
            </w:tcBorders>
            <w:shd w:val="clear" w:color="auto" w:fill="auto"/>
            <w:noWrap/>
            <w:vAlign w:val="bottom"/>
            <w:hideMark/>
          </w:tcPr>
          <w:p w14:paraId="4249CAB7" w14:textId="77777777" w:rsidR="00D4428E" w:rsidRPr="00ED0E0F" w:rsidRDefault="00D4428E" w:rsidP="003E4D50">
            <w:pPr>
              <w:jc w:val="right"/>
              <w:rPr>
                <w:rFonts w:eastAsia="Times New Roman"/>
                <w:color w:val="000000"/>
              </w:rPr>
            </w:pPr>
            <w:r w:rsidRPr="00ED0E0F">
              <w:rPr>
                <w:rFonts w:eastAsia="Times New Roman"/>
                <w:color w:val="000000"/>
              </w:rPr>
              <w:t>2.2</w:t>
            </w:r>
          </w:p>
        </w:tc>
      </w:tr>
      <w:tr w:rsidR="00D4428E" w:rsidRPr="00ED0E0F" w14:paraId="3DB48536" w14:textId="77777777" w:rsidTr="003E4D50">
        <w:trPr>
          <w:trHeight w:val="300"/>
        </w:trPr>
        <w:tc>
          <w:tcPr>
            <w:tcW w:w="1979" w:type="dxa"/>
            <w:tcBorders>
              <w:top w:val="nil"/>
              <w:left w:val="nil"/>
              <w:bottom w:val="nil"/>
              <w:right w:val="nil"/>
            </w:tcBorders>
            <w:shd w:val="clear" w:color="auto" w:fill="auto"/>
            <w:noWrap/>
            <w:vAlign w:val="bottom"/>
            <w:hideMark/>
          </w:tcPr>
          <w:p w14:paraId="2FE81B2F" w14:textId="77777777" w:rsidR="00D4428E" w:rsidRPr="00ED0E0F" w:rsidRDefault="00D4428E" w:rsidP="003E4D50">
            <w:pPr>
              <w:rPr>
                <w:rFonts w:eastAsia="Times New Roman"/>
                <w:color w:val="000000"/>
              </w:rPr>
            </w:pPr>
            <w:r w:rsidRPr="00ED0E0F">
              <w:rPr>
                <w:rFonts w:eastAsia="Times New Roman"/>
                <w:color w:val="000000"/>
              </w:rPr>
              <w:t xml:space="preserve">    50 to 54 years</w:t>
            </w:r>
          </w:p>
        </w:tc>
        <w:tc>
          <w:tcPr>
            <w:tcW w:w="1300" w:type="dxa"/>
            <w:tcBorders>
              <w:top w:val="nil"/>
              <w:left w:val="nil"/>
              <w:bottom w:val="nil"/>
              <w:right w:val="nil"/>
            </w:tcBorders>
            <w:shd w:val="clear" w:color="auto" w:fill="auto"/>
            <w:noWrap/>
            <w:vAlign w:val="bottom"/>
            <w:hideMark/>
          </w:tcPr>
          <w:p w14:paraId="7667B842" w14:textId="77777777" w:rsidR="00D4428E" w:rsidRPr="00ED0E0F" w:rsidRDefault="00D4428E" w:rsidP="003E4D50">
            <w:pPr>
              <w:jc w:val="right"/>
              <w:rPr>
                <w:rFonts w:eastAsia="Times New Roman"/>
                <w:color w:val="000000"/>
              </w:rPr>
            </w:pPr>
            <w:r w:rsidRPr="00ED0E0F">
              <w:rPr>
                <w:rFonts w:eastAsia="Times New Roman"/>
                <w:color w:val="000000"/>
              </w:rPr>
              <w:t>131</w:t>
            </w:r>
          </w:p>
        </w:tc>
        <w:tc>
          <w:tcPr>
            <w:tcW w:w="1347" w:type="dxa"/>
            <w:tcBorders>
              <w:top w:val="nil"/>
              <w:left w:val="nil"/>
              <w:bottom w:val="nil"/>
              <w:right w:val="nil"/>
            </w:tcBorders>
            <w:shd w:val="clear" w:color="auto" w:fill="auto"/>
            <w:noWrap/>
            <w:vAlign w:val="bottom"/>
            <w:hideMark/>
          </w:tcPr>
          <w:p w14:paraId="0414A22F" w14:textId="77777777" w:rsidR="00D4428E" w:rsidRPr="00ED0E0F" w:rsidRDefault="00D4428E" w:rsidP="003E4D50">
            <w:pPr>
              <w:jc w:val="right"/>
              <w:rPr>
                <w:rFonts w:eastAsia="Times New Roman"/>
                <w:color w:val="000000"/>
              </w:rPr>
            </w:pPr>
            <w:r w:rsidRPr="00ED0E0F">
              <w:rPr>
                <w:rFonts w:eastAsia="Times New Roman"/>
                <w:color w:val="000000"/>
              </w:rPr>
              <w:t>146</w:t>
            </w:r>
          </w:p>
        </w:tc>
        <w:tc>
          <w:tcPr>
            <w:tcW w:w="1300" w:type="dxa"/>
            <w:tcBorders>
              <w:top w:val="nil"/>
              <w:left w:val="nil"/>
              <w:bottom w:val="nil"/>
              <w:right w:val="nil"/>
            </w:tcBorders>
            <w:shd w:val="clear" w:color="auto" w:fill="auto"/>
            <w:noWrap/>
            <w:vAlign w:val="bottom"/>
            <w:hideMark/>
          </w:tcPr>
          <w:p w14:paraId="269E8F43" w14:textId="77777777" w:rsidR="00D4428E" w:rsidRPr="00ED0E0F" w:rsidRDefault="00D4428E" w:rsidP="003E4D50">
            <w:pPr>
              <w:jc w:val="right"/>
              <w:rPr>
                <w:rFonts w:eastAsia="Times New Roman"/>
                <w:color w:val="000000"/>
              </w:rPr>
            </w:pPr>
            <w:r w:rsidRPr="00ED0E0F">
              <w:rPr>
                <w:rFonts w:eastAsia="Times New Roman"/>
                <w:color w:val="000000"/>
              </w:rPr>
              <w:t>277</w:t>
            </w:r>
          </w:p>
        </w:tc>
        <w:tc>
          <w:tcPr>
            <w:tcW w:w="1420" w:type="dxa"/>
            <w:tcBorders>
              <w:top w:val="nil"/>
              <w:left w:val="nil"/>
              <w:bottom w:val="nil"/>
              <w:right w:val="nil"/>
            </w:tcBorders>
            <w:shd w:val="clear" w:color="auto" w:fill="auto"/>
            <w:noWrap/>
            <w:vAlign w:val="bottom"/>
            <w:hideMark/>
          </w:tcPr>
          <w:p w14:paraId="2BEABAEF" w14:textId="77777777" w:rsidR="00D4428E" w:rsidRPr="00ED0E0F" w:rsidRDefault="00D4428E" w:rsidP="003E4D50">
            <w:pPr>
              <w:jc w:val="right"/>
              <w:rPr>
                <w:rFonts w:eastAsia="Times New Roman"/>
                <w:color w:val="000000"/>
              </w:rPr>
            </w:pPr>
            <w:r w:rsidRPr="00ED0E0F">
              <w:rPr>
                <w:rFonts w:eastAsia="Times New Roman"/>
                <w:color w:val="000000"/>
              </w:rPr>
              <w:t>-2.5</w:t>
            </w:r>
          </w:p>
        </w:tc>
        <w:tc>
          <w:tcPr>
            <w:tcW w:w="1300" w:type="dxa"/>
            <w:tcBorders>
              <w:top w:val="nil"/>
              <w:left w:val="nil"/>
              <w:bottom w:val="nil"/>
              <w:right w:val="nil"/>
            </w:tcBorders>
            <w:shd w:val="clear" w:color="auto" w:fill="auto"/>
            <w:noWrap/>
            <w:vAlign w:val="bottom"/>
            <w:hideMark/>
          </w:tcPr>
          <w:p w14:paraId="67122223" w14:textId="77777777" w:rsidR="00D4428E" w:rsidRPr="00ED0E0F" w:rsidRDefault="00D4428E" w:rsidP="003E4D50">
            <w:pPr>
              <w:jc w:val="right"/>
              <w:rPr>
                <w:rFonts w:eastAsia="Times New Roman"/>
                <w:color w:val="000000"/>
              </w:rPr>
            </w:pPr>
            <w:r w:rsidRPr="00ED0E0F">
              <w:rPr>
                <w:rFonts w:eastAsia="Times New Roman"/>
                <w:color w:val="000000"/>
              </w:rPr>
              <w:t>2.8</w:t>
            </w:r>
          </w:p>
        </w:tc>
      </w:tr>
      <w:tr w:rsidR="00D4428E" w:rsidRPr="00ED0E0F" w14:paraId="086BE02F" w14:textId="77777777" w:rsidTr="003E4D50">
        <w:trPr>
          <w:trHeight w:val="300"/>
        </w:trPr>
        <w:tc>
          <w:tcPr>
            <w:tcW w:w="1979" w:type="dxa"/>
            <w:tcBorders>
              <w:top w:val="nil"/>
              <w:left w:val="nil"/>
              <w:bottom w:val="nil"/>
              <w:right w:val="nil"/>
            </w:tcBorders>
            <w:shd w:val="clear" w:color="auto" w:fill="auto"/>
            <w:noWrap/>
            <w:vAlign w:val="bottom"/>
            <w:hideMark/>
          </w:tcPr>
          <w:p w14:paraId="5167430E" w14:textId="77777777" w:rsidR="00D4428E" w:rsidRPr="00ED0E0F" w:rsidRDefault="00D4428E" w:rsidP="003E4D50">
            <w:pPr>
              <w:rPr>
                <w:rFonts w:eastAsia="Times New Roman"/>
                <w:color w:val="000000"/>
              </w:rPr>
            </w:pPr>
            <w:r w:rsidRPr="00ED0E0F">
              <w:rPr>
                <w:rFonts w:eastAsia="Times New Roman"/>
                <w:color w:val="000000"/>
              </w:rPr>
              <w:t xml:space="preserve">    55 to 59 years</w:t>
            </w:r>
          </w:p>
        </w:tc>
        <w:tc>
          <w:tcPr>
            <w:tcW w:w="1300" w:type="dxa"/>
            <w:tcBorders>
              <w:top w:val="nil"/>
              <w:left w:val="nil"/>
              <w:bottom w:val="nil"/>
              <w:right w:val="nil"/>
            </w:tcBorders>
            <w:shd w:val="clear" w:color="auto" w:fill="auto"/>
            <w:noWrap/>
            <w:vAlign w:val="bottom"/>
            <w:hideMark/>
          </w:tcPr>
          <w:p w14:paraId="01845325" w14:textId="77777777" w:rsidR="00D4428E" w:rsidRPr="00ED0E0F" w:rsidRDefault="00D4428E" w:rsidP="003E4D50">
            <w:pPr>
              <w:jc w:val="right"/>
              <w:rPr>
                <w:rFonts w:eastAsia="Times New Roman"/>
                <w:color w:val="000000"/>
              </w:rPr>
            </w:pPr>
            <w:r w:rsidRPr="00ED0E0F">
              <w:rPr>
                <w:rFonts w:eastAsia="Times New Roman"/>
                <w:color w:val="000000"/>
              </w:rPr>
              <w:t>119</w:t>
            </w:r>
          </w:p>
        </w:tc>
        <w:tc>
          <w:tcPr>
            <w:tcW w:w="1347" w:type="dxa"/>
            <w:tcBorders>
              <w:top w:val="nil"/>
              <w:left w:val="nil"/>
              <w:bottom w:val="nil"/>
              <w:right w:val="nil"/>
            </w:tcBorders>
            <w:shd w:val="clear" w:color="auto" w:fill="auto"/>
            <w:noWrap/>
            <w:vAlign w:val="bottom"/>
            <w:hideMark/>
          </w:tcPr>
          <w:p w14:paraId="4C766ADD" w14:textId="77777777" w:rsidR="00D4428E" w:rsidRPr="00ED0E0F" w:rsidRDefault="00D4428E" w:rsidP="003E4D50">
            <w:pPr>
              <w:jc w:val="right"/>
              <w:rPr>
                <w:rFonts w:eastAsia="Times New Roman"/>
                <w:color w:val="000000"/>
              </w:rPr>
            </w:pPr>
            <w:r w:rsidRPr="00ED0E0F">
              <w:rPr>
                <w:rFonts w:eastAsia="Times New Roman"/>
                <w:color w:val="000000"/>
              </w:rPr>
              <w:t>131</w:t>
            </w:r>
          </w:p>
        </w:tc>
        <w:tc>
          <w:tcPr>
            <w:tcW w:w="1300" w:type="dxa"/>
            <w:tcBorders>
              <w:top w:val="nil"/>
              <w:left w:val="nil"/>
              <w:bottom w:val="nil"/>
              <w:right w:val="nil"/>
            </w:tcBorders>
            <w:shd w:val="clear" w:color="auto" w:fill="auto"/>
            <w:noWrap/>
            <w:vAlign w:val="bottom"/>
            <w:hideMark/>
          </w:tcPr>
          <w:p w14:paraId="75EE7181" w14:textId="77777777" w:rsidR="00D4428E" w:rsidRPr="00ED0E0F" w:rsidRDefault="00D4428E" w:rsidP="003E4D50">
            <w:pPr>
              <w:jc w:val="right"/>
              <w:rPr>
                <w:rFonts w:eastAsia="Times New Roman"/>
                <w:color w:val="000000"/>
              </w:rPr>
            </w:pPr>
            <w:r w:rsidRPr="00ED0E0F">
              <w:rPr>
                <w:rFonts w:eastAsia="Times New Roman"/>
                <w:color w:val="000000"/>
              </w:rPr>
              <w:t>250</w:t>
            </w:r>
          </w:p>
        </w:tc>
        <w:tc>
          <w:tcPr>
            <w:tcW w:w="1420" w:type="dxa"/>
            <w:tcBorders>
              <w:top w:val="nil"/>
              <w:left w:val="nil"/>
              <w:bottom w:val="nil"/>
              <w:right w:val="nil"/>
            </w:tcBorders>
            <w:shd w:val="clear" w:color="auto" w:fill="auto"/>
            <w:noWrap/>
            <w:vAlign w:val="bottom"/>
            <w:hideMark/>
          </w:tcPr>
          <w:p w14:paraId="578569A2" w14:textId="77777777" w:rsidR="00D4428E" w:rsidRPr="00ED0E0F" w:rsidRDefault="00D4428E" w:rsidP="003E4D50">
            <w:pPr>
              <w:jc w:val="right"/>
              <w:rPr>
                <w:rFonts w:eastAsia="Times New Roman"/>
                <w:color w:val="000000"/>
              </w:rPr>
            </w:pPr>
            <w:r w:rsidRPr="00ED0E0F">
              <w:rPr>
                <w:rFonts w:eastAsia="Times New Roman"/>
                <w:color w:val="000000"/>
              </w:rPr>
              <w:t>-2.3</w:t>
            </w:r>
          </w:p>
        </w:tc>
        <w:tc>
          <w:tcPr>
            <w:tcW w:w="1300" w:type="dxa"/>
            <w:tcBorders>
              <w:top w:val="nil"/>
              <w:left w:val="nil"/>
              <w:bottom w:val="nil"/>
              <w:right w:val="nil"/>
            </w:tcBorders>
            <w:shd w:val="clear" w:color="auto" w:fill="auto"/>
            <w:noWrap/>
            <w:vAlign w:val="bottom"/>
            <w:hideMark/>
          </w:tcPr>
          <w:p w14:paraId="34324AC9" w14:textId="77777777" w:rsidR="00D4428E" w:rsidRPr="00ED0E0F" w:rsidRDefault="00D4428E" w:rsidP="003E4D50">
            <w:pPr>
              <w:jc w:val="right"/>
              <w:rPr>
                <w:rFonts w:eastAsia="Times New Roman"/>
                <w:color w:val="000000"/>
              </w:rPr>
            </w:pPr>
            <w:r w:rsidRPr="00ED0E0F">
              <w:rPr>
                <w:rFonts w:eastAsia="Times New Roman"/>
                <w:color w:val="000000"/>
              </w:rPr>
              <w:t>2.5</w:t>
            </w:r>
          </w:p>
        </w:tc>
      </w:tr>
      <w:tr w:rsidR="00D4428E" w:rsidRPr="00ED0E0F" w14:paraId="4EABFAFE" w14:textId="77777777" w:rsidTr="003E4D50">
        <w:trPr>
          <w:trHeight w:val="300"/>
        </w:trPr>
        <w:tc>
          <w:tcPr>
            <w:tcW w:w="1979" w:type="dxa"/>
            <w:tcBorders>
              <w:top w:val="nil"/>
              <w:left w:val="nil"/>
              <w:bottom w:val="nil"/>
              <w:right w:val="nil"/>
            </w:tcBorders>
            <w:shd w:val="clear" w:color="auto" w:fill="auto"/>
            <w:noWrap/>
            <w:vAlign w:val="bottom"/>
            <w:hideMark/>
          </w:tcPr>
          <w:p w14:paraId="2D84126A" w14:textId="77777777" w:rsidR="00D4428E" w:rsidRPr="00ED0E0F" w:rsidRDefault="00D4428E" w:rsidP="003E4D50">
            <w:pPr>
              <w:rPr>
                <w:rFonts w:eastAsia="Times New Roman"/>
                <w:color w:val="000000"/>
              </w:rPr>
            </w:pPr>
            <w:r w:rsidRPr="00ED0E0F">
              <w:rPr>
                <w:rFonts w:eastAsia="Times New Roman"/>
                <w:color w:val="000000"/>
              </w:rPr>
              <w:t xml:space="preserve">    60 to 64 years</w:t>
            </w:r>
          </w:p>
        </w:tc>
        <w:tc>
          <w:tcPr>
            <w:tcW w:w="1300" w:type="dxa"/>
            <w:tcBorders>
              <w:top w:val="nil"/>
              <w:left w:val="nil"/>
              <w:bottom w:val="nil"/>
              <w:right w:val="nil"/>
            </w:tcBorders>
            <w:shd w:val="clear" w:color="auto" w:fill="auto"/>
            <w:noWrap/>
            <w:vAlign w:val="bottom"/>
            <w:hideMark/>
          </w:tcPr>
          <w:p w14:paraId="3EC32DD8" w14:textId="77777777" w:rsidR="00D4428E" w:rsidRPr="00ED0E0F" w:rsidRDefault="00D4428E" w:rsidP="003E4D50">
            <w:pPr>
              <w:jc w:val="right"/>
              <w:rPr>
                <w:rFonts w:eastAsia="Times New Roman"/>
                <w:color w:val="000000"/>
              </w:rPr>
            </w:pPr>
            <w:r w:rsidRPr="00ED0E0F">
              <w:rPr>
                <w:rFonts w:eastAsia="Times New Roman"/>
                <w:color w:val="000000"/>
              </w:rPr>
              <w:t>94</w:t>
            </w:r>
          </w:p>
        </w:tc>
        <w:tc>
          <w:tcPr>
            <w:tcW w:w="1347" w:type="dxa"/>
            <w:tcBorders>
              <w:top w:val="nil"/>
              <w:left w:val="nil"/>
              <w:bottom w:val="nil"/>
              <w:right w:val="nil"/>
            </w:tcBorders>
            <w:shd w:val="clear" w:color="auto" w:fill="auto"/>
            <w:noWrap/>
            <w:vAlign w:val="bottom"/>
            <w:hideMark/>
          </w:tcPr>
          <w:p w14:paraId="60C2A04B" w14:textId="77777777" w:rsidR="00D4428E" w:rsidRPr="00ED0E0F" w:rsidRDefault="00D4428E" w:rsidP="003E4D50">
            <w:pPr>
              <w:jc w:val="right"/>
              <w:rPr>
                <w:rFonts w:eastAsia="Times New Roman"/>
                <w:color w:val="000000"/>
              </w:rPr>
            </w:pPr>
            <w:r w:rsidRPr="00ED0E0F">
              <w:rPr>
                <w:rFonts w:eastAsia="Times New Roman"/>
                <w:color w:val="000000"/>
              </w:rPr>
              <w:t>100</w:t>
            </w:r>
          </w:p>
        </w:tc>
        <w:tc>
          <w:tcPr>
            <w:tcW w:w="1300" w:type="dxa"/>
            <w:tcBorders>
              <w:top w:val="nil"/>
              <w:left w:val="nil"/>
              <w:bottom w:val="nil"/>
              <w:right w:val="nil"/>
            </w:tcBorders>
            <w:shd w:val="clear" w:color="auto" w:fill="auto"/>
            <w:noWrap/>
            <w:vAlign w:val="bottom"/>
            <w:hideMark/>
          </w:tcPr>
          <w:p w14:paraId="258C3B82" w14:textId="77777777" w:rsidR="00D4428E" w:rsidRPr="00ED0E0F" w:rsidRDefault="00D4428E" w:rsidP="003E4D50">
            <w:pPr>
              <w:jc w:val="right"/>
              <w:rPr>
                <w:rFonts w:eastAsia="Times New Roman"/>
                <w:color w:val="000000"/>
              </w:rPr>
            </w:pPr>
            <w:r w:rsidRPr="00ED0E0F">
              <w:rPr>
                <w:rFonts w:eastAsia="Times New Roman"/>
                <w:color w:val="000000"/>
              </w:rPr>
              <w:t>194</w:t>
            </w:r>
          </w:p>
        </w:tc>
        <w:tc>
          <w:tcPr>
            <w:tcW w:w="1420" w:type="dxa"/>
            <w:tcBorders>
              <w:top w:val="nil"/>
              <w:left w:val="nil"/>
              <w:bottom w:val="nil"/>
              <w:right w:val="nil"/>
            </w:tcBorders>
            <w:shd w:val="clear" w:color="auto" w:fill="auto"/>
            <w:noWrap/>
            <w:vAlign w:val="bottom"/>
            <w:hideMark/>
          </w:tcPr>
          <w:p w14:paraId="0FD3B109" w14:textId="77777777" w:rsidR="00D4428E" w:rsidRPr="00ED0E0F" w:rsidRDefault="00D4428E" w:rsidP="003E4D50">
            <w:pPr>
              <w:jc w:val="right"/>
              <w:rPr>
                <w:rFonts w:eastAsia="Times New Roman"/>
                <w:color w:val="000000"/>
              </w:rPr>
            </w:pPr>
            <w:r w:rsidRPr="00ED0E0F">
              <w:rPr>
                <w:rFonts w:eastAsia="Times New Roman"/>
                <w:color w:val="000000"/>
              </w:rPr>
              <w:t>-1.8</w:t>
            </w:r>
          </w:p>
        </w:tc>
        <w:tc>
          <w:tcPr>
            <w:tcW w:w="1300" w:type="dxa"/>
            <w:tcBorders>
              <w:top w:val="nil"/>
              <w:left w:val="nil"/>
              <w:bottom w:val="nil"/>
              <w:right w:val="nil"/>
            </w:tcBorders>
            <w:shd w:val="clear" w:color="auto" w:fill="auto"/>
            <w:noWrap/>
            <w:vAlign w:val="bottom"/>
            <w:hideMark/>
          </w:tcPr>
          <w:p w14:paraId="473B72B2" w14:textId="77777777" w:rsidR="00D4428E" w:rsidRPr="00ED0E0F" w:rsidRDefault="00D4428E" w:rsidP="003E4D50">
            <w:pPr>
              <w:jc w:val="right"/>
              <w:rPr>
                <w:rFonts w:eastAsia="Times New Roman"/>
                <w:color w:val="000000"/>
              </w:rPr>
            </w:pPr>
            <w:r w:rsidRPr="00ED0E0F">
              <w:rPr>
                <w:rFonts w:eastAsia="Times New Roman"/>
                <w:color w:val="000000"/>
              </w:rPr>
              <w:t>1.9</w:t>
            </w:r>
          </w:p>
        </w:tc>
      </w:tr>
      <w:tr w:rsidR="00D4428E" w:rsidRPr="00ED0E0F" w14:paraId="53554839" w14:textId="77777777" w:rsidTr="003E4D50">
        <w:trPr>
          <w:trHeight w:val="300"/>
        </w:trPr>
        <w:tc>
          <w:tcPr>
            <w:tcW w:w="1979" w:type="dxa"/>
            <w:tcBorders>
              <w:top w:val="nil"/>
              <w:left w:val="nil"/>
              <w:bottom w:val="nil"/>
              <w:right w:val="nil"/>
            </w:tcBorders>
            <w:shd w:val="clear" w:color="auto" w:fill="auto"/>
            <w:noWrap/>
            <w:vAlign w:val="bottom"/>
            <w:hideMark/>
          </w:tcPr>
          <w:p w14:paraId="36C8C46E" w14:textId="77777777" w:rsidR="00D4428E" w:rsidRPr="00ED0E0F" w:rsidRDefault="00D4428E" w:rsidP="003E4D50">
            <w:pPr>
              <w:rPr>
                <w:rFonts w:eastAsia="Times New Roman"/>
                <w:color w:val="000000"/>
              </w:rPr>
            </w:pPr>
            <w:r w:rsidRPr="00ED0E0F">
              <w:rPr>
                <w:rFonts w:eastAsia="Times New Roman"/>
                <w:color w:val="000000"/>
              </w:rPr>
              <w:t xml:space="preserve">    65 to 69 years</w:t>
            </w:r>
          </w:p>
        </w:tc>
        <w:tc>
          <w:tcPr>
            <w:tcW w:w="1300" w:type="dxa"/>
            <w:tcBorders>
              <w:top w:val="nil"/>
              <w:left w:val="nil"/>
              <w:bottom w:val="nil"/>
              <w:right w:val="nil"/>
            </w:tcBorders>
            <w:shd w:val="clear" w:color="auto" w:fill="auto"/>
            <w:noWrap/>
            <w:vAlign w:val="bottom"/>
            <w:hideMark/>
          </w:tcPr>
          <w:p w14:paraId="4F2487DA" w14:textId="77777777" w:rsidR="00D4428E" w:rsidRPr="00ED0E0F" w:rsidRDefault="00D4428E" w:rsidP="003E4D50">
            <w:pPr>
              <w:jc w:val="right"/>
              <w:rPr>
                <w:rFonts w:eastAsia="Times New Roman"/>
                <w:color w:val="000000"/>
              </w:rPr>
            </w:pPr>
            <w:r w:rsidRPr="00ED0E0F">
              <w:rPr>
                <w:rFonts w:eastAsia="Times New Roman"/>
                <w:color w:val="000000"/>
              </w:rPr>
              <w:t>58</w:t>
            </w:r>
          </w:p>
        </w:tc>
        <w:tc>
          <w:tcPr>
            <w:tcW w:w="1347" w:type="dxa"/>
            <w:tcBorders>
              <w:top w:val="nil"/>
              <w:left w:val="nil"/>
              <w:bottom w:val="nil"/>
              <w:right w:val="nil"/>
            </w:tcBorders>
            <w:shd w:val="clear" w:color="auto" w:fill="auto"/>
            <w:noWrap/>
            <w:vAlign w:val="bottom"/>
            <w:hideMark/>
          </w:tcPr>
          <w:p w14:paraId="477C9282" w14:textId="77777777" w:rsidR="00D4428E" w:rsidRPr="00ED0E0F" w:rsidRDefault="00D4428E" w:rsidP="003E4D50">
            <w:pPr>
              <w:jc w:val="right"/>
              <w:rPr>
                <w:rFonts w:eastAsia="Times New Roman"/>
                <w:color w:val="000000"/>
              </w:rPr>
            </w:pPr>
            <w:r w:rsidRPr="00ED0E0F">
              <w:rPr>
                <w:rFonts w:eastAsia="Times New Roman"/>
                <w:color w:val="000000"/>
              </w:rPr>
              <w:t>84</w:t>
            </w:r>
          </w:p>
        </w:tc>
        <w:tc>
          <w:tcPr>
            <w:tcW w:w="1300" w:type="dxa"/>
            <w:tcBorders>
              <w:top w:val="nil"/>
              <w:left w:val="nil"/>
              <w:bottom w:val="nil"/>
              <w:right w:val="nil"/>
            </w:tcBorders>
            <w:shd w:val="clear" w:color="auto" w:fill="auto"/>
            <w:noWrap/>
            <w:vAlign w:val="bottom"/>
            <w:hideMark/>
          </w:tcPr>
          <w:p w14:paraId="110D56AD" w14:textId="77777777" w:rsidR="00D4428E" w:rsidRPr="00ED0E0F" w:rsidRDefault="00D4428E" w:rsidP="003E4D50">
            <w:pPr>
              <w:jc w:val="right"/>
              <w:rPr>
                <w:rFonts w:eastAsia="Times New Roman"/>
                <w:color w:val="000000"/>
              </w:rPr>
            </w:pPr>
            <w:r w:rsidRPr="00ED0E0F">
              <w:rPr>
                <w:rFonts w:eastAsia="Times New Roman"/>
                <w:color w:val="000000"/>
              </w:rPr>
              <w:t>142</w:t>
            </w:r>
          </w:p>
        </w:tc>
        <w:tc>
          <w:tcPr>
            <w:tcW w:w="1420" w:type="dxa"/>
            <w:tcBorders>
              <w:top w:val="nil"/>
              <w:left w:val="nil"/>
              <w:bottom w:val="nil"/>
              <w:right w:val="nil"/>
            </w:tcBorders>
            <w:shd w:val="clear" w:color="auto" w:fill="auto"/>
            <w:noWrap/>
            <w:vAlign w:val="bottom"/>
            <w:hideMark/>
          </w:tcPr>
          <w:p w14:paraId="47C2EF55" w14:textId="77777777" w:rsidR="00D4428E" w:rsidRPr="00ED0E0F" w:rsidRDefault="00D4428E" w:rsidP="003E4D50">
            <w:pPr>
              <w:jc w:val="right"/>
              <w:rPr>
                <w:rFonts w:eastAsia="Times New Roman"/>
                <w:color w:val="000000"/>
              </w:rPr>
            </w:pPr>
            <w:r w:rsidRPr="00ED0E0F">
              <w:rPr>
                <w:rFonts w:eastAsia="Times New Roman"/>
                <w:color w:val="000000"/>
              </w:rPr>
              <w:t>-1.1</w:t>
            </w:r>
          </w:p>
        </w:tc>
        <w:tc>
          <w:tcPr>
            <w:tcW w:w="1300" w:type="dxa"/>
            <w:tcBorders>
              <w:top w:val="nil"/>
              <w:left w:val="nil"/>
              <w:bottom w:val="nil"/>
              <w:right w:val="nil"/>
            </w:tcBorders>
            <w:shd w:val="clear" w:color="auto" w:fill="auto"/>
            <w:noWrap/>
            <w:vAlign w:val="bottom"/>
            <w:hideMark/>
          </w:tcPr>
          <w:p w14:paraId="1C646A78" w14:textId="77777777" w:rsidR="00D4428E" w:rsidRPr="00ED0E0F" w:rsidRDefault="00D4428E" w:rsidP="003E4D50">
            <w:pPr>
              <w:jc w:val="right"/>
              <w:rPr>
                <w:rFonts w:eastAsia="Times New Roman"/>
                <w:color w:val="000000"/>
              </w:rPr>
            </w:pPr>
            <w:r w:rsidRPr="00ED0E0F">
              <w:rPr>
                <w:rFonts w:eastAsia="Times New Roman"/>
                <w:color w:val="000000"/>
              </w:rPr>
              <w:t>1.6</w:t>
            </w:r>
          </w:p>
        </w:tc>
      </w:tr>
      <w:tr w:rsidR="00D4428E" w:rsidRPr="00ED0E0F" w14:paraId="7EFD7B1E" w14:textId="77777777" w:rsidTr="003E4D50">
        <w:trPr>
          <w:trHeight w:val="300"/>
        </w:trPr>
        <w:tc>
          <w:tcPr>
            <w:tcW w:w="1979" w:type="dxa"/>
            <w:tcBorders>
              <w:top w:val="nil"/>
              <w:left w:val="nil"/>
              <w:bottom w:val="nil"/>
              <w:right w:val="nil"/>
            </w:tcBorders>
            <w:shd w:val="clear" w:color="auto" w:fill="auto"/>
            <w:noWrap/>
            <w:vAlign w:val="bottom"/>
            <w:hideMark/>
          </w:tcPr>
          <w:p w14:paraId="09C08941" w14:textId="77777777" w:rsidR="00D4428E" w:rsidRPr="00ED0E0F" w:rsidRDefault="00D4428E" w:rsidP="003E4D50">
            <w:pPr>
              <w:rPr>
                <w:rFonts w:eastAsia="Times New Roman"/>
                <w:color w:val="000000"/>
              </w:rPr>
            </w:pPr>
            <w:r w:rsidRPr="00ED0E0F">
              <w:rPr>
                <w:rFonts w:eastAsia="Times New Roman"/>
                <w:color w:val="000000"/>
              </w:rPr>
              <w:t xml:space="preserve">    70 to 74 years</w:t>
            </w:r>
          </w:p>
        </w:tc>
        <w:tc>
          <w:tcPr>
            <w:tcW w:w="1300" w:type="dxa"/>
            <w:tcBorders>
              <w:top w:val="nil"/>
              <w:left w:val="nil"/>
              <w:bottom w:val="nil"/>
              <w:right w:val="nil"/>
            </w:tcBorders>
            <w:shd w:val="clear" w:color="auto" w:fill="auto"/>
            <w:noWrap/>
            <w:vAlign w:val="bottom"/>
            <w:hideMark/>
          </w:tcPr>
          <w:p w14:paraId="3A5E2E39" w14:textId="77777777" w:rsidR="00D4428E" w:rsidRPr="00ED0E0F" w:rsidRDefault="00D4428E" w:rsidP="003E4D50">
            <w:pPr>
              <w:jc w:val="right"/>
              <w:rPr>
                <w:rFonts w:eastAsia="Times New Roman"/>
                <w:color w:val="000000"/>
              </w:rPr>
            </w:pPr>
            <w:r w:rsidRPr="00ED0E0F">
              <w:rPr>
                <w:rFonts w:eastAsia="Times New Roman"/>
                <w:color w:val="000000"/>
              </w:rPr>
              <w:t>53</w:t>
            </w:r>
          </w:p>
        </w:tc>
        <w:tc>
          <w:tcPr>
            <w:tcW w:w="1347" w:type="dxa"/>
            <w:tcBorders>
              <w:top w:val="nil"/>
              <w:left w:val="nil"/>
              <w:bottom w:val="nil"/>
              <w:right w:val="nil"/>
            </w:tcBorders>
            <w:shd w:val="clear" w:color="auto" w:fill="auto"/>
            <w:noWrap/>
            <w:vAlign w:val="bottom"/>
            <w:hideMark/>
          </w:tcPr>
          <w:p w14:paraId="4A200F9B" w14:textId="77777777" w:rsidR="00D4428E" w:rsidRPr="00ED0E0F" w:rsidRDefault="00D4428E" w:rsidP="003E4D50">
            <w:pPr>
              <w:jc w:val="right"/>
              <w:rPr>
                <w:rFonts w:eastAsia="Times New Roman"/>
                <w:color w:val="000000"/>
              </w:rPr>
            </w:pPr>
            <w:r w:rsidRPr="00ED0E0F">
              <w:rPr>
                <w:rFonts w:eastAsia="Times New Roman"/>
                <w:color w:val="000000"/>
              </w:rPr>
              <w:t>65</w:t>
            </w:r>
          </w:p>
        </w:tc>
        <w:tc>
          <w:tcPr>
            <w:tcW w:w="1300" w:type="dxa"/>
            <w:tcBorders>
              <w:top w:val="nil"/>
              <w:left w:val="nil"/>
              <w:bottom w:val="nil"/>
              <w:right w:val="nil"/>
            </w:tcBorders>
            <w:shd w:val="clear" w:color="auto" w:fill="auto"/>
            <w:noWrap/>
            <w:vAlign w:val="bottom"/>
            <w:hideMark/>
          </w:tcPr>
          <w:p w14:paraId="4B03916A" w14:textId="77777777" w:rsidR="00D4428E" w:rsidRPr="00ED0E0F" w:rsidRDefault="00D4428E" w:rsidP="003E4D50">
            <w:pPr>
              <w:jc w:val="right"/>
              <w:rPr>
                <w:rFonts w:eastAsia="Times New Roman"/>
                <w:color w:val="000000"/>
              </w:rPr>
            </w:pPr>
            <w:r w:rsidRPr="00ED0E0F">
              <w:rPr>
                <w:rFonts w:eastAsia="Times New Roman"/>
                <w:color w:val="000000"/>
              </w:rPr>
              <w:t>118</w:t>
            </w:r>
          </w:p>
        </w:tc>
        <w:tc>
          <w:tcPr>
            <w:tcW w:w="1420" w:type="dxa"/>
            <w:tcBorders>
              <w:top w:val="nil"/>
              <w:left w:val="nil"/>
              <w:bottom w:val="nil"/>
              <w:right w:val="nil"/>
            </w:tcBorders>
            <w:shd w:val="clear" w:color="auto" w:fill="auto"/>
            <w:noWrap/>
            <w:vAlign w:val="bottom"/>
            <w:hideMark/>
          </w:tcPr>
          <w:p w14:paraId="62EE5CC2" w14:textId="77777777" w:rsidR="00D4428E" w:rsidRPr="00ED0E0F" w:rsidRDefault="00D4428E" w:rsidP="003E4D50">
            <w:pPr>
              <w:jc w:val="right"/>
              <w:rPr>
                <w:rFonts w:eastAsia="Times New Roman"/>
                <w:color w:val="000000"/>
              </w:rPr>
            </w:pPr>
            <w:r w:rsidRPr="00ED0E0F">
              <w:rPr>
                <w:rFonts w:eastAsia="Times New Roman"/>
                <w:color w:val="000000"/>
              </w:rPr>
              <w:t>-1.0</w:t>
            </w:r>
          </w:p>
        </w:tc>
        <w:tc>
          <w:tcPr>
            <w:tcW w:w="1300" w:type="dxa"/>
            <w:tcBorders>
              <w:top w:val="nil"/>
              <w:left w:val="nil"/>
              <w:bottom w:val="nil"/>
              <w:right w:val="nil"/>
            </w:tcBorders>
            <w:shd w:val="clear" w:color="auto" w:fill="auto"/>
            <w:noWrap/>
            <w:vAlign w:val="bottom"/>
            <w:hideMark/>
          </w:tcPr>
          <w:p w14:paraId="6D6962BA" w14:textId="77777777" w:rsidR="00D4428E" w:rsidRPr="00ED0E0F" w:rsidRDefault="00D4428E" w:rsidP="003E4D50">
            <w:pPr>
              <w:jc w:val="right"/>
              <w:rPr>
                <w:rFonts w:eastAsia="Times New Roman"/>
                <w:color w:val="000000"/>
              </w:rPr>
            </w:pPr>
            <w:r w:rsidRPr="00ED0E0F">
              <w:rPr>
                <w:rFonts w:eastAsia="Times New Roman"/>
                <w:color w:val="000000"/>
              </w:rPr>
              <w:t>1.2</w:t>
            </w:r>
          </w:p>
        </w:tc>
      </w:tr>
      <w:tr w:rsidR="00D4428E" w:rsidRPr="00ED0E0F" w14:paraId="20E47054" w14:textId="77777777" w:rsidTr="003E4D50">
        <w:trPr>
          <w:trHeight w:val="300"/>
        </w:trPr>
        <w:tc>
          <w:tcPr>
            <w:tcW w:w="1979" w:type="dxa"/>
            <w:tcBorders>
              <w:top w:val="nil"/>
              <w:left w:val="nil"/>
              <w:bottom w:val="nil"/>
              <w:right w:val="nil"/>
            </w:tcBorders>
            <w:shd w:val="clear" w:color="auto" w:fill="auto"/>
            <w:noWrap/>
            <w:vAlign w:val="bottom"/>
            <w:hideMark/>
          </w:tcPr>
          <w:p w14:paraId="5D693059" w14:textId="77777777" w:rsidR="00D4428E" w:rsidRPr="00ED0E0F" w:rsidRDefault="00D4428E" w:rsidP="003E4D50">
            <w:pPr>
              <w:rPr>
                <w:rFonts w:eastAsia="Times New Roman"/>
                <w:color w:val="000000"/>
              </w:rPr>
            </w:pPr>
            <w:r w:rsidRPr="00ED0E0F">
              <w:rPr>
                <w:rFonts w:eastAsia="Times New Roman"/>
                <w:color w:val="000000"/>
              </w:rPr>
              <w:t xml:space="preserve">    75 to 79 years</w:t>
            </w:r>
          </w:p>
        </w:tc>
        <w:tc>
          <w:tcPr>
            <w:tcW w:w="1300" w:type="dxa"/>
            <w:tcBorders>
              <w:top w:val="nil"/>
              <w:left w:val="nil"/>
              <w:bottom w:val="nil"/>
              <w:right w:val="nil"/>
            </w:tcBorders>
            <w:shd w:val="clear" w:color="auto" w:fill="auto"/>
            <w:noWrap/>
            <w:vAlign w:val="bottom"/>
            <w:hideMark/>
          </w:tcPr>
          <w:p w14:paraId="2770A950" w14:textId="77777777" w:rsidR="00D4428E" w:rsidRPr="00ED0E0F" w:rsidRDefault="00D4428E" w:rsidP="003E4D50">
            <w:pPr>
              <w:jc w:val="right"/>
              <w:rPr>
                <w:rFonts w:eastAsia="Times New Roman"/>
                <w:color w:val="000000"/>
              </w:rPr>
            </w:pPr>
            <w:r w:rsidRPr="00ED0E0F">
              <w:rPr>
                <w:rFonts w:eastAsia="Times New Roman"/>
                <w:color w:val="000000"/>
              </w:rPr>
              <w:t>63</w:t>
            </w:r>
          </w:p>
        </w:tc>
        <w:tc>
          <w:tcPr>
            <w:tcW w:w="1347" w:type="dxa"/>
            <w:tcBorders>
              <w:top w:val="nil"/>
              <w:left w:val="nil"/>
              <w:bottom w:val="nil"/>
              <w:right w:val="nil"/>
            </w:tcBorders>
            <w:shd w:val="clear" w:color="auto" w:fill="auto"/>
            <w:noWrap/>
            <w:vAlign w:val="bottom"/>
            <w:hideMark/>
          </w:tcPr>
          <w:p w14:paraId="281C39E1" w14:textId="77777777" w:rsidR="00D4428E" w:rsidRPr="00ED0E0F" w:rsidRDefault="00D4428E" w:rsidP="003E4D50">
            <w:pPr>
              <w:jc w:val="right"/>
              <w:rPr>
                <w:rFonts w:eastAsia="Times New Roman"/>
                <w:color w:val="000000"/>
              </w:rPr>
            </w:pPr>
            <w:r w:rsidRPr="00ED0E0F">
              <w:rPr>
                <w:rFonts w:eastAsia="Times New Roman"/>
                <w:color w:val="000000"/>
              </w:rPr>
              <w:t>105</w:t>
            </w:r>
          </w:p>
        </w:tc>
        <w:tc>
          <w:tcPr>
            <w:tcW w:w="1300" w:type="dxa"/>
            <w:tcBorders>
              <w:top w:val="nil"/>
              <w:left w:val="nil"/>
              <w:bottom w:val="nil"/>
              <w:right w:val="nil"/>
            </w:tcBorders>
            <w:shd w:val="clear" w:color="auto" w:fill="auto"/>
            <w:noWrap/>
            <w:vAlign w:val="bottom"/>
            <w:hideMark/>
          </w:tcPr>
          <w:p w14:paraId="5DE54215" w14:textId="77777777" w:rsidR="00D4428E" w:rsidRPr="00ED0E0F" w:rsidRDefault="00D4428E" w:rsidP="003E4D50">
            <w:pPr>
              <w:jc w:val="right"/>
              <w:rPr>
                <w:rFonts w:eastAsia="Times New Roman"/>
                <w:color w:val="000000"/>
              </w:rPr>
            </w:pPr>
            <w:r w:rsidRPr="00ED0E0F">
              <w:rPr>
                <w:rFonts w:eastAsia="Times New Roman"/>
                <w:color w:val="000000"/>
              </w:rPr>
              <w:t>168</w:t>
            </w:r>
          </w:p>
        </w:tc>
        <w:tc>
          <w:tcPr>
            <w:tcW w:w="1420" w:type="dxa"/>
            <w:tcBorders>
              <w:top w:val="nil"/>
              <w:left w:val="nil"/>
              <w:bottom w:val="nil"/>
              <w:right w:val="nil"/>
            </w:tcBorders>
            <w:shd w:val="clear" w:color="auto" w:fill="auto"/>
            <w:noWrap/>
            <w:vAlign w:val="bottom"/>
            <w:hideMark/>
          </w:tcPr>
          <w:p w14:paraId="3F24F533" w14:textId="77777777" w:rsidR="00D4428E" w:rsidRPr="00ED0E0F" w:rsidRDefault="00D4428E" w:rsidP="003E4D50">
            <w:pPr>
              <w:jc w:val="right"/>
              <w:rPr>
                <w:rFonts w:eastAsia="Times New Roman"/>
                <w:color w:val="000000"/>
              </w:rPr>
            </w:pPr>
            <w:r w:rsidRPr="00ED0E0F">
              <w:rPr>
                <w:rFonts w:eastAsia="Times New Roman"/>
                <w:color w:val="000000"/>
              </w:rPr>
              <w:t>-1.2</w:t>
            </w:r>
          </w:p>
        </w:tc>
        <w:tc>
          <w:tcPr>
            <w:tcW w:w="1300" w:type="dxa"/>
            <w:tcBorders>
              <w:top w:val="nil"/>
              <w:left w:val="nil"/>
              <w:bottom w:val="nil"/>
              <w:right w:val="nil"/>
            </w:tcBorders>
            <w:shd w:val="clear" w:color="auto" w:fill="auto"/>
            <w:noWrap/>
            <w:vAlign w:val="bottom"/>
            <w:hideMark/>
          </w:tcPr>
          <w:p w14:paraId="07DF69A4" w14:textId="77777777" w:rsidR="00D4428E" w:rsidRPr="00ED0E0F" w:rsidRDefault="00D4428E" w:rsidP="003E4D50">
            <w:pPr>
              <w:jc w:val="right"/>
              <w:rPr>
                <w:rFonts w:eastAsia="Times New Roman"/>
                <w:color w:val="000000"/>
              </w:rPr>
            </w:pPr>
            <w:r w:rsidRPr="00ED0E0F">
              <w:rPr>
                <w:rFonts w:eastAsia="Times New Roman"/>
                <w:color w:val="000000"/>
              </w:rPr>
              <w:t>2.0</w:t>
            </w:r>
          </w:p>
        </w:tc>
      </w:tr>
      <w:tr w:rsidR="00D4428E" w:rsidRPr="00ED0E0F" w14:paraId="12C48BEA" w14:textId="77777777" w:rsidTr="003E4D50">
        <w:trPr>
          <w:trHeight w:val="300"/>
        </w:trPr>
        <w:tc>
          <w:tcPr>
            <w:tcW w:w="1979" w:type="dxa"/>
            <w:tcBorders>
              <w:top w:val="nil"/>
              <w:left w:val="nil"/>
              <w:bottom w:val="nil"/>
              <w:right w:val="nil"/>
            </w:tcBorders>
            <w:shd w:val="clear" w:color="auto" w:fill="auto"/>
            <w:noWrap/>
            <w:vAlign w:val="bottom"/>
            <w:hideMark/>
          </w:tcPr>
          <w:p w14:paraId="76B5FF62" w14:textId="77777777" w:rsidR="00D4428E" w:rsidRPr="00ED0E0F" w:rsidRDefault="00D4428E" w:rsidP="003E4D50">
            <w:pPr>
              <w:rPr>
                <w:rFonts w:eastAsia="Times New Roman"/>
                <w:color w:val="000000"/>
              </w:rPr>
            </w:pPr>
            <w:r w:rsidRPr="00ED0E0F">
              <w:rPr>
                <w:rFonts w:eastAsia="Times New Roman"/>
                <w:color w:val="000000"/>
              </w:rPr>
              <w:t xml:space="preserve">    80 to 84 years</w:t>
            </w:r>
          </w:p>
        </w:tc>
        <w:tc>
          <w:tcPr>
            <w:tcW w:w="1300" w:type="dxa"/>
            <w:tcBorders>
              <w:top w:val="nil"/>
              <w:left w:val="nil"/>
              <w:bottom w:val="nil"/>
              <w:right w:val="nil"/>
            </w:tcBorders>
            <w:shd w:val="clear" w:color="auto" w:fill="auto"/>
            <w:noWrap/>
            <w:vAlign w:val="bottom"/>
            <w:hideMark/>
          </w:tcPr>
          <w:p w14:paraId="3F134DA2" w14:textId="77777777" w:rsidR="00D4428E" w:rsidRPr="00ED0E0F" w:rsidRDefault="00D4428E" w:rsidP="003E4D50">
            <w:pPr>
              <w:jc w:val="right"/>
              <w:rPr>
                <w:rFonts w:eastAsia="Times New Roman"/>
                <w:color w:val="000000"/>
              </w:rPr>
            </w:pPr>
            <w:r w:rsidRPr="00ED0E0F">
              <w:rPr>
                <w:rFonts w:eastAsia="Times New Roman"/>
                <w:color w:val="000000"/>
              </w:rPr>
              <w:t>57</w:t>
            </w:r>
          </w:p>
        </w:tc>
        <w:tc>
          <w:tcPr>
            <w:tcW w:w="1347" w:type="dxa"/>
            <w:tcBorders>
              <w:top w:val="nil"/>
              <w:left w:val="nil"/>
              <w:bottom w:val="nil"/>
              <w:right w:val="nil"/>
            </w:tcBorders>
            <w:shd w:val="clear" w:color="auto" w:fill="auto"/>
            <w:noWrap/>
            <w:vAlign w:val="bottom"/>
            <w:hideMark/>
          </w:tcPr>
          <w:p w14:paraId="62962394" w14:textId="77777777" w:rsidR="00D4428E" w:rsidRPr="00ED0E0F" w:rsidRDefault="00D4428E" w:rsidP="003E4D50">
            <w:pPr>
              <w:jc w:val="right"/>
              <w:rPr>
                <w:rFonts w:eastAsia="Times New Roman"/>
                <w:color w:val="000000"/>
              </w:rPr>
            </w:pPr>
            <w:r w:rsidRPr="00ED0E0F">
              <w:rPr>
                <w:rFonts w:eastAsia="Times New Roman"/>
                <w:color w:val="000000"/>
              </w:rPr>
              <w:t>114</w:t>
            </w:r>
          </w:p>
        </w:tc>
        <w:tc>
          <w:tcPr>
            <w:tcW w:w="1300" w:type="dxa"/>
            <w:tcBorders>
              <w:top w:val="nil"/>
              <w:left w:val="nil"/>
              <w:bottom w:val="nil"/>
              <w:right w:val="nil"/>
            </w:tcBorders>
            <w:shd w:val="clear" w:color="auto" w:fill="auto"/>
            <w:noWrap/>
            <w:vAlign w:val="bottom"/>
            <w:hideMark/>
          </w:tcPr>
          <w:p w14:paraId="34DFDBE7" w14:textId="77777777" w:rsidR="00D4428E" w:rsidRPr="00ED0E0F" w:rsidRDefault="00D4428E" w:rsidP="003E4D50">
            <w:pPr>
              <w:jc w:val="right"/>
              <w:rPr>
                <w:rFonts w:eastAsia="Times New Roman"/>
                <w:color w:val="000000"/>
              </w:rPr>
            </w:pPr>
            <w:r w:rsidRPr="00ED0E0F">
              <w:rPr>
                <w:rFonts w:eastAsia="Times New Roman"/>
                <w:color w:val="000000"/>
              </w:rPr>
              <w:t>171</w:t>
            </w:r>
          </w:p>
        </w:tc>
        <w:tc>
          <w:tcPr>
            <w:tcW w:w="1420" w:type="dxa"/>
            <w:tcBorders>
              <w:top w:val="nil"/>
              <w:left w:val="nil"/>
              <w:bottom w:val="nil"/>
              <w:right w:val="nil"/>
            </w:tcBorders>
            <w:shd w:val="clear" w:color="auto" w:fill="auto"/>
            <w:noWrap/>
            <w:vAlign w:val="bottom"/>
            <w:hideMark/>
          </w:tcPr>
          <w:p w14:paraId="0B03FF6B" w14:textId="77777777" w:rsidR="00D4428E" w:rsidRPr="00ED0E0F" w:rsidRDefault="00D4428E" w:rsidP="003E4D50">
            <w:pPr>
              <w:jc w:val="right"/>
              <w:rPr>
                <w:rFonts w:eastAsia="Times New Roman"/>
                <w:color w:val="000000"/>
              </w:rPr>
            </w:pPr>
            <w:r w:rsidRPr="00ED0E0F">
              <w:rPr>
                <w:rFonts w:eastAsia="Times New Roman"/>
                <w:color w:val="000000"/>
              </w:rPr>
              <w:t>-1.1</w:t>
            </w:r>
          </w:p>
        </w:tc>
        <w:tc>
          <w:tcPr>
            <w:tcW w:w="1300" w:type="dxa"/>
            <w:tcBorders>
              <w:top w:val="nil"/>
              <w:left w:val="nil"/>
              <w:bottom w:val="nil"/>
              <w:right w:val="nil"/>
            </w:tcBorders>
            <w:shd w:val="clear" w:color="auto" w:fill="auto"/>
            <w:noWrap/>
            <w:vAlign w:val="bottom"/>
            <w:hideMark/>
          </w:tcPr>
          <w:p w14:paraId="336A5ED3" w14:textId="77777777" w:rsidR="00D4428E" w:rsidRPr="00ED0E0F" w:rsidRDefault="00D4428E" w:rsidP="003E4D50">
            <w:pPr>
              <w:jc w:val="right"/>
              <w:rPr>
                <w:rFonts w:eastAsia="Times New Roman"/>
                <w:color w:val="000000"/>
              </w:rPr>
            </w:pPr>
            <w:r w:rsidRPr="00ED0E0F">
              <w:rPr>
                <w:rFonts w:eastAsia="Times New Roman"/>
                <w:color w:val="000000"/>
              </w:rPr>
              <w:t>2.2</w:t>
            </w:r>
          </w:p>
        </w:tc>
      </w:tr>
      <w:tr w:rsidR="00D4428E" w:rsidRPr="00ED0E0F" w14:paraId="46CA9647" w14:textId="77777777" w:rsidTr="003E4D50">
        <w:trPr>
          <w:trHeight w:val="300"/>
        </w:trPr>
        <w:tc>
          <w:tcPr>
            <w:tcW w:w="1979" w:type="dxa"/>
            <w:tcBorders>
              <w:top w:val="nil"/>
              <w:left w:val="nil"/>
              <w:bottom w:val="nil"/>
              <w:right w:val="nil"/>
            </w:tcBorders>
            <w:shd w:val="clear" w:color="auto" w:fill="auto"/>
            <w:noWrap/>
            <w:vAlign w:val="bottom"/>
            <w:hideMark/>
          </w:tcPr>
          <w:p w14:paraId="19383985" w14:textId="77777777" w:rsidR="00D4428E" w:rsidRPr="00ED0E0F" w:rsidRDefault="00D4428E" w:rsidP="003E4D50">
            <w:pPr>
              <w:jc w:val="right"/>
              <w:rPr>
                <w:rFonts w:eastAsia="Times New Roman"/>
                <w:color w:val="000000"/>
              </w:rPr>
            </w:pPr>
            <w:r w:rsidRPr="00ED0E0F">
              <w:rPr>
                <w:rFonts w:eastAsia="Times New Roman"/>
                <w:color w:val="000000"/>
              </w:rPr>
              <w:t>85 years and over</w:t>
            </w:r>
          </w:p>
        </w:tc>
        <w:tc>
          <w:tcPr>
            <w:tcW w:w="1300" w:type="dxa"/>
            <w:tcBorders>
              <w:top w:val="nil"/>
              <w:left w:val="nil"/>
              <w:bottom w:val="nil"/>
              <w:right w:val="nil"/>
            </w:tcBorders>
            <w:shd w:val="clear" w:color="auto" w:fill="auto"/>
            <w:noWrap/>
            <w:vAlign w:val="bottom"/>
            <w:hideMark/>
          </w:tcPr>
          <w:p w14:paraId="1D036EEC" w14:textId="77777777" w:rsidR="00D4428E" w:rsidRPr="00ED0E0F" w:rsidRDefault="00D4428E" w:rsidP="003E4D50">
            <w:pPr>
              <w:jc w:val="right"/>
              <w:rPr>
                <w:rFonts w:eastAsia="Times New Roman"/>
                <w:color w:val="000000"/>
              </w:rPr>
            </w:pPr>
            <w:r w:rsidRPr="00ED0E0F">
              <w:rPr>
                <w:rFonts w:eastAsia="Times New Roman"/>
                <w:color w:val="000000"/>
              </w:rPr>
              <w:t>84</w:t>
            </w:r>
          </w:p>
        </w:tc>
        <w:tc>
          <w:tcPr>
            <w:tcW w:w="1347" w:type="dxa"/>
            <w:tcBorders>
              <w:top w:val="nil"/>
              <w:left w:val="nil"/>
              <w:bottom w:val="nil"/>
              <w:right w:val="nil"/>
            </w:tcBorders>
            <w:shd w:val="clear" w:color="auto" w:fill="auto"/>
            <w:noWrap/>
            <w:vAlign w:val="bottom"/>
            <w:hideMark/>
          </w:tcPr>
          <w:p w14:paraId="27C311C7" w14:textId="77777777" w:rsidR="00D4428E" w:rsidRPr="00ED0E0F" w:rsidRDefault="00D4428E" w:rsidP="003E4D50">
            <w:pPr>
              <w:jc w:val="right"/>
              <w:rPr>
                <w:rFonts w:eastAsia="Times New Roman"/>
                <w:color w:val="000000"/>
              </w:rPr>
            </w:pPr>
            <w:r w:rsidRPr="00ED0E0F">
              <w:rPr>
                <w:rFonts w:eastAsia="Times New Roman"/>
                <w:color w:val="000000"/>
              </w:rPr>
              <w:t>167</w:t>
            </w:r>
          </w:p>
        </w:tc>
        <w:tc>
          <w:tcPr>
            <w:tcW w:w="1300" w:type="dxa"/>
            <w:tcBorders>
              <w:top w:val="nil"/>
              <w:left w:val="nil"/>
              <w:bottom w:val="nil"/>
              <w:right w:val="nil"/>
            </w:tcBorders>
            <w:shd w:val="clear" w:color="auto" w:fill="auto"/>
            <w:noWrap/>
            <w:vAlign w:val="bottom"/>
            <w:hideMark/>
          </w:tcPr>
          <w:p w14:paraId="018DC20F" w14:textId="77777777" w:rsidR="00D4428E" w:rsidRPr="00ED0E0F" w:rsidRDefault="00D4428E" w:rsidP="003E4D50">
            <w:pPr>
              <w:jc w:val="right"/>
              <w:rPr>
                <w:rFonts w:eastAsia="Times New Roman"/>
                <w:color w:val="000000"/>
              </w:rPr>
            </w:pPr>
            <w:r w:rsidRPr="00ED0E0F">
              <w:rPr>
                <w:rFonts w:eastAsia="Times New Roman"/>
                <w:color w:val="000000"/>
              </w:rPr>
              <w:t>251</w:t>
            </w:r>
          </w:p>
        </w:tc>
        <w:tc>
          <w:tcPr>
            <w:tcW w:w="1420" w:type="dxa"/>
            <w:tcBorders>
              <w:top w:val="nil"/>
              <w:left w:val="nil"/>
              <w:bottom w:val="nil"/>
              <w:right w:val="nil"/>
            </w:tcBorders>
            <w:shd w:val="clear" w:color="auto" w:fill="auto"/>
            <w:noWrap/>
            <w:vAlign w:val="bottom"/>
            <w:hideMark/>
          </w:tcPr>
          <w:p w14:paraId="365A66DB" w14:textId="77777777" w:rsidR="00D4428E" w:rsidRPr="00ED0E0F" w:rsidRDefault="00D4428E" w:rsidP="003E4D50">
            <w:pPr>
              <w:jc w:val="right"/>
              <w:rPr>
                <w:rFonts w:eastAsia="Times New Roman"/>
                <w:color w:val="000000"/>
              </w:rPr>
            </w:pPr>
            <w:r w:rsidRPr="00ED0E0F">
              <w:rPr>
                <w:rFonts w:eastAsia="Times New Roman"/>
                <w:color w:val="000000"/>
              </w:rPr>
              <w:t>-1.6</w:t>
            </w:r>
          </w:p>
        </w:tc>
        <w:tc>
          <w:tcPr>
            <w:tcW w:w="1300" w:type="dxa"/>
            <w:tcBorders>
              <w:top w:val="nil"/>
              <w:left w:val="nil"/>
              <w:bottom w:val="nil"/>
              <w:right w:val="nil"/>
            </w:tcBorders>
            <w:shd w:val="clear" w:color="auto" w:fill="auto"/>
            <w:noWrap/>
            <w:vAlign w:val="bottom"/>
            <w:hideMark/>
          </w:tcPr>
          <w:p w14:paraId="4528BC3F" w14:textId="77777777" w:rsidR="00D4428E" w:rsidRPr="00ED0E0F" w:rsidRDefault="00D4428E" w:rsidP="003E4D50">
            <w:pPr>
              <w:jc w:val="right"/>
              <w:rPr>
                <w:rFonts w:eastAsia="Times New Roman"/>
                <w:color w:val="000000"/>
              </w:rPr>
            </w:pPr>
            <w:r w:rsidRPr="00ED0E0F">
              <w:rPr>
                <w:rFonts w:eastAsia="Times New Roman"/>
                <w:color w:val="000000"/>
              </w:rPr>
              <w:t>3.2</w:t>
            </w:r>
          </w:p>
        </w:tc>
      </w:tr>
      <w:tr w:rsidR="00D4428E" w:rsidRPr="00ED0E0F" w14:paraId="18524346" w14:textId="77777777" w:rsidTr="003E4D50">
        <w:trPr>
          <w:trHeight w:val="300"/>
        </w:trPr>
        <w:tc>
          <w:tcPr>
            <w:tcW w:w="1979" w:type="dxa"/>
            <w:tcBorders>
              <w:top w:val="nil"/>
              <w:left w:val="nil"/>
              <w:bottom w:val="nil"/>
              <w:right w:val="nil"/>
            </w:tcBorders>
            <w:shd w:val="clear" w:color="auto" w:fill="auto"/>
            <w:noWrap/>
            <w:vAlign w:val="bottom"/>
            <w:hideMark/>
          </w:tcPr>
          <w:p w14:paraId="64F3F004" w14:textId="77777777" w:rsidR="00D4428E" w:rsidRPr="00ED0E0F" w:rsidRDefault="00D4428E" w:rsidP="003E4D50">
            <w:pPr>
              <w:jc w:val="right"/>
              <w:rPr>
                <w:rFonts w:eastAsia="Times New Roman"/>
                <w:color w:val="000000"/>
              </w:rPr>
            </w:pPr>
            <w:r w:rsidRPr="00ED0E0F">
              <w:rPr>
                <w:rFonts w:eastAsia="Times New Roman"/>
                <w:color w:val="000000"/>
              </w:rPr>
              <w:t>Total</w:t>
            </w:r>
          </w:p>
        </w:tc>
        <w:tc>
          <w:tcPr>
            <w:tcW w:w="1300" w:type="dxa"/>
            <w:tcBorders>
              <w:top w:val="nil"/>
              <w:left w:val="nil"/>
              <w:bottom w:val="nil"/>
              <w:right w:val="nil"/>
            </w:tcBorders>
            <w:shd w:val="clear" w:color="auto" w:fill="auto"/>
            <w:noWrap/>
            <w:vAlign w:val="bottom"/>
            <w:hideMark/>
          </w:tcPr>
          <w:p w14:paraId="7D4BBB91" w14:textId="77777777" w:rsidR="00D4428E" w:rsidRPr="00ED0E0F" w:rsidRDefault="00D4428E" w:rsidP="003E4D50">
            <w:pPr>
              <w:jc w:val="right"/>
              <w:rPr>
                <w:rFonts w:eastAsia="Times New Roman"/>
                <w:color w:val="000000"/>
              </w:rPr>
            </w:pPr>
            <w:r w:rsidRPr="00ED0E0F">
              <w:rPr>
                <w:rFonts w:eastAsia="Times New Roman"/>
                <w:color w:val="000000"/>
              </w:rPr>
              <w:t>2462</w:t>
            </w:r>
          </w:p>
        </w:tc>
        <w:tc>
          <w:tcPr>
            <w:tcW w:w="1347" w:type="dxa"/>
            <w:tcBorders>
              <w:top w:val="nil"/>
              <w:left w:val="nil"/>
              <w:bottom w:val="nil"/>
              <w:right w:val="nil"/>
            </w:tcBorders>
            <w:shd w:val="clear" w:color="auto" w:fill="auto"/>
            <w:noWrap/>
            <w:vAlign w:val="bottom"/>
            <w:hideMark/>
          </w:tcPr>
          <w:p w14:paraId="5D679C04" w14:textId="77777777" w:rsidR="00D4428E" w:rsidRPr="00ED0E0F" w:rsidRDefault="00D4428E" w:rsidP="003E4D50">
            <w:pPr>
              <w:jc w:val="right"/>
              <w:rPr>
                <w:rFonts w:eastAsia="Times New Roman"/>
                <w:color w:val="000000"/>
              </w:rPr>
            </w:pPr>
            <w:r w:rsidRPr="00ED0E0F">
              <w:rPr>
                <w:rFonts w:eastAsia="Times New Roman"/>
                <w:color w:val="000000"/>
              </w:rPr>
              <w:t>2824</w:t>
            </w:r>
          </w:p>
        </w:tc>
        <w:tc>
          <w:tcPr>
            <w:tcW w:w="1300" w:type="dxa"/>
            <w:tcBorders>
              <w:top w:val="nil"/>
              <w:left w:val="nil"/>
              <w:bottom w:val="nil"/>
              <w:right w:val="nil"/>
            </w:tcBorders>
            <w:shd w:val="clear" w:color="auto" w:fill="auto"/>
            <w:noWrap/>
            <w:vAlign w:val="bottom"/>
            <w:hideMark/>
          </w:tcPr>
          <w:p w14:paraId="6AD9267C" w14:textId="77777777" w:rsidR="00D4428E" w:rsidRPr="00ED0E0F" w:rsidRDefault="00D4428E" w:rsidP="003E4D50">
            <w:pPr>
              <w:jc w:val="right"/>
              <w:rPr>
                <w:rFonts w:eastAsia="Times New Roman"/>
                <w:color w:val="000000"/>
              </w:rPr>
            </w:pPr>
            <w:r w:rsidRPr="00ED0E0F">
              <w:rPr>
                <w:rFonts w:eastAsia="Times New Roman"/>
                <w:color w:val="000000"/>
              </w:rPr>
              <w:t>5286</w:t>
            </w:r>
          </w:p>
        </w:tc>
        <w:tc>
          <w:tcPr>
            <w:tcW w:w="1420" w:type="dxa"/>
            <w:tcBorders>
              <w:top w:val="nil"/>
              <w:left w:val="nil"/>
              <w:bottom w:val="nil"/>
              <w:right w:val="nil"/>
            </w:tcBorders>
            <w:shd w:val="clear" w:color="auto" w:fill="auto"/>
            <w:noWrap/>
            <w:vAlign w:val="bottom"/>
            <w:hideMark/>
          </w:tcPr>
          <w:p w14:paraId="27A64581" w14:textId="77777777" w:rsidR="00D4428E" w:rsidRPr="00ED0E0F" w:rsidRDefault="00D4428E" w:rsidP="003E4D50">
            <w:pPr>
              <w:jc w:val="right"/>
              <w:rPr>
                <w:rFonts w:eastAsia="Times New Roman"/>
                <w:color w:val="000000"/>
              </w:rPr>
            </w:pPr>
            <w:r w:rsidRPr="00ED0E0F">
              <w:rPr>
                <w:rFonts w:eastAsia="Times New Roman"/>
                <w:color w:val="000000"/>
              </w:rPr>
              <w:t>46.6</w:t>
            </w:r>
          </w:p>
        </w:tc>
        <w:tc>
          <w:tcPr>
            <w:tcW w:w="1300" w:type="dxa"/>
            <w:tcBorders>
              <w:top w:val="nil"/>
              <w:left w:val="nil"/>
              <w:bottom w:val="nil"/>
              <w:right w:val="nil"/>
            </w:tcBorders>
            <w:shd w:val="clear" w:color="auto" w:fill="auto"/>
            <w:noWrap/>
            <w:vAlign w:val="bottom"/>
            <w:hideMark/>
          </w:tcPr>
          <w:p w14:paraId="30C5336A" w14:textId="77777777" w:rsidR="00D4428E" w:rsidRPr="00ED0E0F" w:rsidRDefault="00D4428E" w:rsidP="003E4D50">
            <w:pPr>
              <w:jc w:val="right"/>
              <w:rPr>
                <w:rFonts w:eastAsia="Times New Roman"/>
                <w:color w:val="000000"/>
              </w:rPr>
            </w:pPr>
            <w:r w:rsidRPr="00ED0E0F">
              <w:rPr>
                <w:rFonts w:eastAsia="Times New Roman"/>
                <w:color w:val="000000"/>
              </w:rPr>
              <w:t>53.4</w:t>
            </w:r>
          </w:p>
        </w:tc>
      </w:tr>
    </w:tbl>
    <w:p w14:paraId="26EB9F23" w14:textId="77777777" w:rsidR="00D4428E" w:rsidRPr="00ED0E0F" w:rsidRDefault="00D4428E" w:rsidP="00D4428E">
      <w:pPr>
        <w:jc w:val="right"/>
      </w:pPr>
    </w:p>
    <w:p w14:paraId="3844B8DD" w14:textId="77777777" w:rsidR="00D4428E" w:rsidRPr="00ED0E0F" w:rsidRDefault="00D4428E" w:rsidP="00D4428E"/>
    <w:p w14:paraId="3F74C423" w14:textId="77777777" w:rsidR="00D4428E" w:rsidRPr="00ED0E0F" w:rsidRDefault="00D4428E" w:rsidP="00D4428E"/>
    <w:p w14:paraId="7D9541FC" w14:textId="77777777" w:rsidR="00D4428E" w:rsidRPr="00ED0E0F" w:rsidRDefault="00D4428E" w:rsidP="00D4428E"/>
    <w:p w14:paraId="6211677E" w14:textId="77777777" w:rsidR="00D4428E" w:rsidRPr="00ED0E0F" w:rsidRDefault="00D4428E" w:rsidP="00D4428E"/>
    <w:p w14:paraId="50BC2BDB" w14:textId="77777777" w:rsidR="00D4428E" w:rsidRPr="00ED0E0F" w:rsidRDefault="00D4428E" w:rsidP="00D4428E"/>
    <w:p w14:paraId="5DEB5DA7" w14:textId="77777777" w:rsidR="00D4428E" w:rsidRPr="00ED0E0F" w:rsidRDefault="00D4428E" w:rsidP="00D4428E"/>
    <w:p w14:paraId="2974BB7E" w14:textId="77777777" w:rsidR="00D4428E" w:rsidRPr="00ED0E0F" w:rsidRDefault="00D4428E" w:rsidP="00D4428E">
      <w:pPr>
        <w:rPr>
          <w:b/>
        </w:rPr>
      </w:pPr>
    </w:p>
    <w:p w14:paraId="7E4992DB" w14:textId="77777777" w:rsidR="00D4428E" w:rsidRPr="00ED0E0F" w:rsidRDefault="00D4428E" w:rsidP="00D4428E">
      <w:pPr>
        <w:rPr>
          <w:b/>
        </w:rPr>
      </w:pPr>
      <w:r w:rsidRPr="00ED0E0F">
        <w:rPr>
          <w:b/>
        </w:rPr>
        <w:t>Table 4: Race in Morris City</w:t>
      </w:r>
    </w:p>
    <w:tbl>
      <w:tblPr>
        <w:tblW w:w="6015" w:type="dxa"/>
        <w:tblInd w:w="93" w:type="dxa"/>
        <w:tblLook w:val="04A0" w:firstRow="1" w:lastRow="0" w:firstColumn="1" w:lastColumn="0" w:noHBand="0" w:noVBand="1"/>
      </w:tblPr>
      <w:tblGrid>
        <w:gridCol w:w="3415"/>
        <w:gridCol w:w="1300"/>
        <w:gridCol w:w="1300"/>
      </w:tblGrid>
      <w:tr w:rsidR="00D4428E" w:rsidRPr="00ED0E0F" w14:paraId="71597DCA" w14:textId="77777777" w:rsidTr="003E4D50">
        <w:trPr>
          <w:trHeight w:val="300"/>
        </w:trPr>
        <w:tc>
          <w:tcPr>
            <w:tcW w:w="3415" w:type="dxa"/>
            <w:tcBorders>
              <w:top w:val="nil"/>
              <w:left w:val="nil"/>
              <w:bottom w:val="nil"/>
              <w:right w:val="nil"/>
            </w:tcBorders>
            <w:shd w:val="clear" w:color="auto" w:fill="auto"/>
            <w:noWrap/>
            <w:vAlign w:val="bottom"/>
            <w:hideMark/>
          </w:tcPr>
          <w:p w14:paraId="6793E3B4" w14:textId="77777777" w:rsidR="00D4428E" w:rsidRPr="00ED0E0F" w:rsidRDefault="00D4428E" w:rsidP="003E4D50">
            <w:pPr>
              <w:rPr>
                <w:rFonts w:eastAsia="Times New Roman"/>
                <w:color w:val="000000"/>
              </w:rPr>
            </w:pPr>
            <w:r w:rsidRPr="00ED0E0F">
              <w:rPr>
                <w:rFonts w:eastAsia="Times New Roman"/>
                <w:color w:val="000000"/>
              </w:rPr>
              <w:t>Race</w:t>
            </w:r>
          </w:p>
        </w:tc>
        <w:tc>
          <w:tcPr>
            <w:tcW w:w="1300" w:type="dxa"/>
            <w:tcBorders>
              <w:top w:val="nil"/>
              <w:left w:val="nil"/>
              <w:bottom w:val="nil"/>
              <w:right w:val="nil"/>
            </w:tcBorders>
            <w:shd w:val="clear" w:color="auto" w:fill="auto"/>
            <w:noWrap/>
            <w:vAlign w:val="bottom"/>
            <w:hideMark/>
          </w:tcPr>
          <w:p w14:paraId="2F934BE1" w14:textId="77777777" w:rsidR="00D4428E" w:rsidRPr="00ED0E0F" w:rsidRDefault="00D4428E" w:rsidP="003E4D50">
            <w:pPr>
              <w:rPr>
                <w:rFonts w:eastAsia="Times New Roman"/>
                <w:color w:val="000000"/>
              </w:rPr>
            </w:pPr>
            <w:proofErr w:type="gramStart"/>
            <w:r w:rsidRPr="00ED0E0F">
              <w:rPr>
                <w:rFonts w:eastAsia="Times New Roman"/>
                <w:color w:val="000000"/>
              </w:rPr>
              <w:t>year</w:t>
            </w:r>
            <w:proofErr w:type="gramEnd"/>
            <w:r w:rsidRPr="00ED0E0F">
              <w:rPr>
                <w:rFonts w:eastAsia="Times New Roman"/>
                <w:color w:val="000000"/>
              </w:rPr>
              <w:t>: 2000</w:t>
            </w:r>
          </w:p>
        </w:tc>
        <w:tc>
          <w:tcPr>
            <w:tcW w:w="1300" w:type="dxa"/>
            <w:tcBorders>
              <w:top w:val="nil"/>
              <w:left w:val="nil"/>
              <w:bottom w:val="nil"/>
              <w:right w:val="nil"/>
            </w:tcBorders>
            <w:shd w:val="clear" w:color="auto" w:fill="auto"/>
            <w:noWrap/>
            <w:vAlign w:val="bottom"/>
            <w:hideMark/>
          </w:tcPr>
          <w:p w14:paraId="40D2C843" w14:textId="77777777" w:rsidR="00D4428E" w:rsidRPr="00ED0E0F" w:rsidRDefault="00D4428E" w:rsidP="003E4D50">
            <w:pPr>
              <w:rPr>
                <w:rFonts w:eastAsia="Times New Roman"/>
                <w:color w:val="000000"/>
              </w:rPr>
            </w:pPr>
            <w:proofErr w:type="gramStart"/>
            <w:r w:rsidRPr="00ED0E0F">
              <w:rPr>
                <w:rFonts w:eastAsia="Times New Roman"/>
                <w:color w:val="000000"/>
              </w:rPr>
              <w:t>year</w:t>
            </w:r>
            <w:proofErr w:type="gramEnd"/>
            <w:r w:rsidRPr="00ED0E0F">
              <w:rPr>
                <w:rFonts w:eastAsia="Times New Roman"/>
                <w:color w:val="000000"/>
              </w:rPr>
              <w:t>: 2010</w:t>
            </w:r>
          </w:p>
        </w:tc>
      </w:tr>
      <w:tr w:rsidR="00D4428E" w:rsidRPr="00ED0E0F" w14:paraId="02818F31" w14:textId="77777777" w:rsidTr="003E4D50">
        <w:trPr>
          <w:trHeight w:val="300"/>
        </w:trPr>
        <w:tc>
          <w:tcPr>
            <w:tcW w:w="3415" w:type="dxa"/>
            <w:tcBorders>
              <w:top w:val="nil"/>
              <w:left w:val="nil"/>
              <w:bottom w:val="nil"/>
              <w:right w:val="nil"/>
            </w:tcBorders>
            <w:shd w:val="clear" w:color="auto" w:fill="auto"/>
            <w:noWrap/>
            <w:vAlign w:val="bottom"/>
            <w:hideMark/>
          </w:tcPr>
          <w:p w14:paraId="113BAB37" w14:textId="77777777" w:rsidR="00D4428E" w:rsidRPr="00ED0E0F" w:rsidRDefault="00D4428E" w:rsidP="003E4D50">
            <w:pPr>
              <w:rPr>
                <w:rFonts w:eastAsia="Times New Roman"/>
                <w:color w:val="000000"/>
              </w:rPr>
            </w:pPr>
            <w:r w:rsidRPr="00ED0E0F">
              <w:rPr>
                <w:rFonts w:eastAsia="Times New Roman"/>
                <w:color w:val="000000"/>
              </w:rPr>
              <w:t>White</w:t>
            </w:r>
          </w:p>
        </w:tc>
        <w:tc>
          <w:tcPr>
            <w:tcW w:w="1300" w:type="dxa"/>
            <w:tcBorders>
              <w:top w:val="nil"/>
              <w:left w:val="nil"/>
              <w:bottom w:val="nil"/>
              <w:right w:val="nil"/>
            </w:tcBorders>
            <w:shd w:val="clear" w:color="auto" w:fill="auto"/>
            <w:noWrap/>
            <w:vAlign w:val="bottom"/>
            <w:hideMark/>
          </w:tcPr>
          <w:p w14:paraId="39242822" w14:textId="77777777" w:rsidR="00D4428E" w:rsidRPr="00ED0E0F" w:rsidRDefault="00D4428E" w:rsidP="003E4D50">
            <w:pPr>
              <w:jc w:val="right"/>
              <w:rPr>
                <w:rFonts w:eastAsia="Times New Roman"/>
                <w:color w:val="000000"/>
              </w:rPr>
            </w:pPr>
            <w:r w:rsidRPr="00ED0E0F">
              <w:rPr>
                <w:rFonts w:eastAsia="Times New Roman"/>
                <w:color w:val="000000"/>
              </w:rPr>
              <w:t>4745</w:t>
            </w:r>
          </w:p>
        </w:tc>
        <w:tc>
          <w:tcPr>
            <w:tcW w:w="1300" w:type="dxa"/>
            <w:tcBorders>
              <w:top w:val="nil"/>
              <w:left w:val="nil"/>
              <w:bottom w:val="nil"/>
              <w:right w:val="nil"/>
            </w:tcBorders>
            <w:shd w:val="clear" w:color="auto" w:fill="auto"/>
            <w:noWrap/>
            <w:vAlign w:val="bottom"/>
            <w:hideMark/>
          </w:tcPr>
          <w:p w14:paraId="3B24814F" w14:textId="77777777" w:rsidR="00D4428E" w:rsidRPr="00ED0E0F" w:rsidRDefault="00D4428E" w:rsidP="003E4D50">
            <w:pPr>
              <w:jc w:val="right"/>
              <w:rPr>
                <w:rFonts w:eastAsia="Times New Roman"/>
                <w:color w:val="000000"/>
              </w:rPr>
            </w:pPr>
            <w:r w:rsidRPr="00ED0E0F">
              <w:rPr>
                <w:rFonts w:eastAsia="Times New Roman"/>
                <w:color w:val="000000"/>
              </w:rPr>
              <w:t>4806</w:t>
            </w:r>
          </w:p>
        </w:tc>
      </w:tr>
      <w:tr w:rsidR="00D4428E" w:rsidRPr="00ED0E0F" w14:paraId="47905CC7" w14:textId="77777777" w:rsidTr="003E4D50">
        <w:trPr>
          <w:trHeight w:val="300"/>
        </w:trPr>
        <w:tc>
          <w:tcPr>
            <w:tcW w:w="3415" w:type="dxa"/>
            <w:tcBorders>
              <w:top w:val="nil"/>
              <w:left w:val="nil"/>
              <w:bottom w:val="nil"/>
              <w:right w:val="nil"/>
            </w:tcBorders>
            <w:shd w:val="clear" w:color="auto" w:fill="auto"/>
            <w:noWrap/>
            <w:vAlign w:val="bottom"/>
            <w:hideMark/>
          </w:tcPr>
          <w:p w14:paraId="3F5EF5F6" w14:textId="77777777" w:rsidR="00D4428E" w:rsidRPr="00ED0E0F" w:rsidRDefault="00D4428E" w:rsidP="003E4D50">
            <w:pPr>
              <w:rPr>
                <w:rFonts w:eastAsia="Times New Roman"/>
                <w:color w:val="000000"/>
              </w:rPr>
            </w:pPr>
            <w:r w:rsidRPr="00ED0E0F">
              <w:rPr>
                <w:rFonts w:eastAsia="Times New Roman"/>
                <w:color w:val="000000"/>
              </w:rPr>
              <w:t>Black or African American</w:t>
            </w:r>
          </w:p>
        </w:tc>
        <w:tc>
          <w:tcPr>
            <w:tcW w:w="1300" w:type="dxa"/>
            <w:tcBorders>
              <w:top w:val="nil"/>
              <w:left w:val="nil"/>
              <w:bottom w:val="nil"/>
              <w:right w:val="nil"/>
            </w:tcBorders>
            <w:shd w:val="clear" w:color="auto" w:fill="auto"/>
            <w:noWrap/>
            <w:vAlign w:val="bottom"/>
            <w:hideMark/>
          </w:tcPr>
          <w:p w14:paraId="390EA9D3" w14:textId="77777777" w:rsidR="00D4428E" w:rsidRPr="00ED0E0F" w:rsidRDefault="00D4428E" w:rsidP="003E4D50">
            <w:pPr>
              <w:jc w:val="right"/>
              <w:rPr>
                <w:rFonts w:eastAsia="Times New Roman"/>
                <w:color w:val="000000"/>
              </w:rPr>
            </w:pPr>
            <w:r w:rsidRPr="00ED0E0F">
              <w:rPr>
                <w:rFonts w:eastAsia="Times New Roman"/>
                <w:color w:val="000000"/>
              </w:rPr>
              <w:t>89</w:t>
            </w:r>
          </w:p>
        </w:tc>
        <w:tc>
          <w:tcPr>
            <w:tcW w:w="1300" w:type="dxa"/>
            <w:tcBorders>
              <w:top w:val="nil"/>
              <w:left w:val="nil"/>
              <w:bottom w:val="nil"/>
              <w:right w:val="nil"/>
            </w:tcBorders>
            <w:shd w:val="clear" w:color="auto" w:fill="auto"/>
            <w:noWrap/>
            <w:vAlign w:val="bottom"/>
            <w:hideMark/>
          </w:tcPr>
          <w:p w14:paraId="0295CAC3" w14:textId="77777777" w:rsidR="00D4428E" w:rsidRPr="00ED0E0F" w:rsidRDefault="00D4428E" w:rsidP="003E4D50">
            <w:pPr>
              <w:jc w:val="right"/>
              <w:rPr>
                <w:rFonts w:eastAsia="Times New Roman"/>
                <w:color w:val="000000"/>
              </w:rPr>
            </w:pPr>
            <w:r w:rsidRPr="00ED0E0F">
              <w:rPr>
                <w:rFonts w:eastAsia="Times New Roman"/>
                <w:color w:val="000000"/>
              </w:rPr>
              <w:t>71</w:t>
            </w:r>
          </w:p>
        </w:tc>
      </w:tr>
      <w:tr w:rsidR="00D4428E" w:rsidRPr="00ED0E0F" w14:paraId="64FA3079" w14:textId="77777777" w:rsidTr="003E4D50">
        <w:trPr>
          <w:trHeight w:val="300"/>
        </w:trPr>
        <w:tc>
          <w:tcPr>
            <w:tcW w:w="3415" w:type="dxa"/>
            <w:tcBorders>
              <w:top w:val="nil"/>
              <w:left w:val="nil"/>
              <w:bottom w:val="nil"/>
              <w:right w:val="nil"/>
            </w:tcBorders>
            <w:shd w:val="clear" w:color="auto" w:fill="auto"/>
            <w:noWrap/>
            <w:vAlign w:val="bottom"/>
            <w:hideMark/>
          </w:tcPr>
          <w:p w14:paraId="08441225" w14:textId="77777777" w:rsidR="00D4428E" w:rsidRPr="00ED0E0F" w:rsidRDefault="00D4428E" w:rsidP="003E4D50">
            <w:pPr>
              <w:rPr>
                <w:rFonts w:eastAsia="Times New Roman"/>
                <w:color w:val="000000"/>
              </w:rPr>
            </w:pPr>
            <w:r w:rsidRPr="00ED0E0F">
              <w:rPr>
                <w:rFonts w:eastAsia="Times New Roman"/>
                <w:color w:val="000000"/>
              </w:rPr>
              <w:t>American Indian and Alaska Native</w:t>
            </w:r>
          </w:p>
        </w:tc>
        <w:tc>
          <w:tcPr>
            <w:tcW w:w="1300" w:type="dxa"/>
            <w:tcBorders>
              <w:top w:val="nil"/>
              <w:left w:val="nil"/>
              <w:bottom w:val="nil"/>
              <w:right w:val="nil"/>
            </w:tcBorders>
            <w:shd w:val="clear" w:color="auto" w:fill="auto"/>
            <w:noWrap/>
            <w:vAlign w:val="bottom"/>
            <w:hideMark/>
          </w:tcPr>
          <w:p w14:paraId="3678C360" w14:textId="77777777" w:rsidR="00D4428E" w:rsidRPr="00ED0E0F" w:rsidRDefault="00D4428E" w:rsidP="003E4D50">
            <w:pPr>
              <w:jc w:val="right"/>
              <w:rPr>
                <w:rFonts w:eastAsia="Times New Roman"/>
                <w:color w:val="000000"/>
              </w:rPr>
            </w:pPr>
            <w:r w:rsidRPr="00ED0E0F">
              <w:rPr>
                <w:rFonts w:eastAsia="Times New Roman"/>
                <w:color w:val="000000"/>
              </w:rPr>
              <w:t>62</w:t>
            </w:r>
          </w:p>
        </w:tc>
        <w:tc>
          <w:tcPr>
            <w:tcW w:w="1300" w:type="dxa"/>
            <w:tcBorders>
              <w:top w:val="nil"/>
              <w:left w:val="nil"/>
              <w:bottom w:val="nil"/>
              <w:right w:val="nil"/>
            </w:tcBorders>
            <w:shd w:val="clear" w:color="auto" w:fill="auto"/>
            <w:noWrap/>
            <w:vAlign w:val="bottom"/>
            <w:hideMark/>
          </w:tcPr>
          <w:p w14:paraId="51EBFA9D" w14:textId="77777777" w:rsidR="00D4428E" w:rsidRPr="00ED0E0F" w:rsidRDefault="00D4428E" w:rsidP="003E4D50">
            <w:pPr>
              <w:jc w:val="right"/>
              <w:rPr>
                <w:rFonts w:eastAsia="Times New Roman"/>
                <w:color w:val="000000"/>
              </w:rPr>
            </w:pPr>
            <w:r w:rsidRPr="00ED0E0F">
              <w:rPr>
                <w:rFonts w:eastAsia="Times New Roman"/>
                <w:color w:val="000000"/>
              </w:rPr>
              <w:t>77</w:t>
            </w:r>
          </w:p>
        </w:tc>
      </w:tr>
      <w:tr w:rsidR="00D4428E" w:rsidRPr="00ED0E0F" w14:paraId="32F7EBA3" w14:textId="77777777" w:rsidTr="003E4D50">
        <w:trPr>
          <w:trHeight w:val="300"/>
        </w:trPr>
        <w:tc>
          <w:tcPr>
            <w:tcW w:w="3415" w:type="dxa"/>
            <w:tcBorders>
              <w:top w:val="nil"/>
              <w:left w:val="nil"/>
              <w:bottom w:val="nil"/>
              <w:right w:val="nil"/>
            </w:tcBorders>
            <w:shd w:val="clear" w:color="auto" w:fill="auto"/>
            <w:noWrap/>
            <w:vAlign w:val="bottom"/>
            <w:hideMark/>
          </w:tcPr>
          <w:p w14:paraId="6D22912F" w14:textId="77777777" w:rsidR="00D4428E" w:rsidRPr="00ED0E0F" w:rsidRDefault="00D4428E" w:rsidP="003E4D50">
            <w:pPr>
              <w:rPr>
                <w:rFonts w:eastAsia="Times New Roman"/>
                <w:color w:val="000000"/>
              </w:rPr>
            </w:pPr>
            <w:r w:rsidRPr="00ED0E0F">
              <w:rPr>
                <w:rFonts w:eastAsia="Times New Roman"/>
                <w:color w:val="000000"/>
              </w:rPr>
              <w:t>Asian</w:t>
            </w:r>
          </w:p>
        </w:tc>
        <w:tc>
          <w:tcPr>
            <w:tcW w:w="1300" w:type="dxa"/>
            <w:tcBorders>
              <w:top w:val="nil"/>
              <w:left w:val="nil"/>
              <w:bottom w:val="nil"/>
              <w:right w:val="nil"/>
            </w:tcBorders>
            <w:shd w:val="clear" w:color="auto" w:fill="auto"/>
            <w:noWrap/>
            <w:vAlign w:val="bottom"/>
            <w:hideMark/>
          </w:tcPr>
          <w:p w14:paraId="6228A23F" w14:textId="77777777" w:rsidR="00D4428E" w:rsidRPr="00ED0E0F" w:rsidRDefault="00D4428E" w:rsidP="003E4D50">
            <w:pPr>
              <w:jc w:val="right"/>
              <w:rPr>
                <w:rFonts w:eastAsia="Times New Roman"/>
                <w:color w:val="000000"/>
              </w:rPr>
            </w:pPr>
            <w:r w:rsidRPr="00ED0E0F">
              <w:rPr>
                <w:rFonts w:eastAsia="Times New Roman"/>
                <w:color w:val="000000"/>
              </w:rPr>
              <w:t>78</w:t>
            </w:r>
          </w:p>
        </w:tc>
        <w:tc>
          <w:tcPr>
            <w:tcW w:w="1300" w:type="dxa"/>
            <w:tcBorders>
              <w:top w:val="nil"/>
              <w:left w:val="nil"/>
              <w:bottom w:val="nil"/>
              <w:right w:val="nil"/>
            </w:tcBorders>
            <w:shd w:val="clear" w:color="auto" w:fill="auto"/>
            <w:noWrap/>
            <w:vAlign w:val="bottom"/>
            <w:hideMark/>
          </w:tcPr>
          <w:p w14:paraId="4BE53390" w14:textId="77777777" w:rsidR="00D4428E" w:rsidRPr="00ED0E0F" w:rsidRDefault="00D4428E" w:rsidP="003E4D50">
            <w:pPr>
              <w:jc w:val="right"/>
              <w:rPr>
                <w:rFonts w:eastAsia="Times New Roman"/>
                <w:color w:val="000000"/>
              </w:rPr>
            </w:pPr>
            <w:r w:rsidRPr="00ED0E0F">
              <w:rPr>
                <w:rFonts w:eastAsia="Times New Roman"/>
                <w:color w:val="000000"/>
              </w:rPr>
              <w:t>133</w:t>
            </w:r>
          </w:p>
        </w:tc>
      </w:tr>
      <w:tr w:rsidR="00D4428E" w:rsidRPr="00ED0E0F" w14:paraId="17010C6B" w14:textId="77777777" w:rsidTr="003E4D50">
        <w:trPr>
          <w:trHeight w:val="300"/>
        </w:trPr>
        <w:tc>
          <w:tcPr>
            <w:tcW w:w="3415" w:type="dxa"/>
            <w:tcBorders>
              <w:top w:val="nil"/>
              <w:left w:val="nil"/>
              <w:bottom w:val="nil"/>
              <w:right w:val="nil"/>
            </w:tcBorders>
            <w:shd w:val="clear" w:color="auto" w:fill="auto"/>
            <w:noWrap/>
            <w:vAlign w:val="bottom"/>
            <w:hideMark/>
          </w:tcPr>
          <w:p w14:paraId="6C179B43" w14:textId="77777777" w:rsidR="00D4428E" w:rsidRPr="00ED0E0F" w:rsidRDefault="00D4428E" w:rsidP="003E4D50">
            <w:pPr>
              <w:rPr>
                <w:rFonts w:eastAsia="Times New Roman"/>
                <w:color w:val="000000"/>
              </w:rPr>
            </w:pPr>
            <w:r w:rsidRPr="00ED0E0F">
              <w:rPr>
                <w:rFonts w:eastAsia="Times New Roman"/>
                <w:color w:val="000000"/>
              </w:rPr>
              <w:t>Hispanic or Latino</w:t>
            </w:r>
          </w:p>
        </w:tc>
        <w:tc>
          <w:tcPr>
            <w:tcW w:w="1300" w:type="dxa"/>
            <w:tcBorders>
              <w:top w:val="nil"/>
              <w:left w:val="nil"/>
              <w:bottom w:val="nil"/>
              <w:right w:val="nil"/>
            </w:tcBorders>
            <w:shd w:val="clear" w:color="auto" w:fill="auto"/>
            <w:noWrap/>
            <w:vAlign w:val="bottom"/>
            <w:hideMark/>
          </w:tcPr>
          <w:p w14:paraId="60AC4B61" w14:textId="77777777" w:rsidR="00D4428E" w:rsidRPr="00ED0E0F" w:rsidRDefault="00D4428E" w:rsidP="003E4D50">
            <w:pPr>
              <w:jc w:val="right"/>
              <w:rPr>
                <w:rFonts w:eastAsia="Times New Roman"/>
                <w:color w:val="000000"/>
              </w:rPr>
            </w:pPr>
            <w:r w:rsidRPr="00ED0E0F">
              <w:rPr>
                <w:rFonts w:eastAsia="Times New Roman"/>
                <w:color w:val="000000"/>
              </w:rPr>
              <w:t>75</w:t>
            </w:r>
          </w:p>
        </w:tc>
        <w:tc>
          <w:tcPr>
            <w:tcW w:w="1300" w:type="dxa"/>
            <w:tcBorders>
              <w:top w:val="nil"/>
              <w:left w:val="nil"/>
              <w:bottom w:val="nil"/>
              <w:right w:val="nil"/>
            </w:tcBorders>
            <w:shd w:val="clear" w:color="auto" w:fill="auto"/>
            <w:noWrap/>
            <w:vAlign w:val="bottom"/>
            <w:hideMark/>
          </w:tcPr>
          <w:p w14:paraId="4CD4B3C3" w14:textId="77777777" w:rsidR="00D4428E" w:rsidRPr="00ED0E0F" w:rsidRDefault="00D4428E" w:rsidP="003E4D50">
            <w:pPr>
              <w:jc w:val="right"/>
              <w:rPr>
                <w:rFonts w:eastAsia="Times New Roman"/>
                <w:color w:val="000000"/>
              </w:rPr>
            </w:pPr>
            <w:r w:rsidRPr="00ED0E0F">
              <w:rPr>
                <w:rFonts w:eastAsia="Times New Roman"/>
                <w:color w:val="000000"/>
              </w:rPr>
              <w:t>171</w:t>
            </w:r>
          </w:p>
        </w:tc>
      </w:tr>
    </w:tbl>
    <w:p w14:paraId="1E4630C7" w14:textId="77777777" w:rsidR="00D4428E" w:rsidRPr="00ED0E0F" w:rsidRDefault="00D4428E" w:rsidP="00D4428E"/>
    <w:p w14:paraId="05C9F5D9" w14:textId="77777777" w:rsidR="00D4428E" w:rsidRPr="00ED0E0F" w:rsidRDefault="00D4428E" w:rsidP="00D4428E">
      <w:pPr>
        <w:rPr>
          <w:b/>
        </w:rPr>
      </w:pPr>
    </w:p>
    <w:tbl>
      <w:tblPr>
        <w:tblW w:w="5650" w:type="dxa"/>
        <w:tblInd w:w="93" w:type="dxa"/>
        <w:tblLook w:val="04A0" w:firstRow="1" w:lastRow="0" w:firstColumn="1" w:lastColumn="0" w:noHBand="0" w:noVBand="1"/>
      </w:tblPr>
      <w:tblGrid>
        <w:gridCol w:w="4268"/>
        <w:gridCol w:w="1300"/>
        <w:gridCol w:w="1300"/>
      </w:tblGrid>
      <w:tr w:rsidR="00D4428E" w:rsidRPr="00ED0E0F" w14:paraId="651D9BA4" w14:textId="77777777" w:rsidTr="003E4D50">
        <w:trPr>
          <w:trHeight w:val="300"/>
        </w:trPr>
        <w:tc>
          <w:tcPr>
            <w:tcW w:w="3050" w:type="dxa"/>
            <w:tcBorders>
              <w:top w:val="nil"/>
              <w:left w:val="nil"/>
              <w:bottom w:val="nil"/>
              <w:right w:val="nil"/>
            </w:tcBorders>
            <w:shd w:val="clear" w:color="auto" w:fill="auto"/>
            <w:noWrap/>
            <w:vAlign w:val="bottom"/>
            <w:hideMark/>
          </w:tcPr>
          <w:p w14:paraId="2FE9381C" w14:textId="77777777" w:rsidR="00D4428E" w:rsidRPr="00ED0E0F" w:rsidRDefault="00D4428E" w:rsidP="003E4D50">
            <w:pPr>
              <w:rPr>
                <w:b/>
              </w:rPr>
            </w:pPr>
            <w:r w:rsidRPr="00ED0E0F">
              <w:rPr>
                <w:b/>
              </w:rPr>
              <w:t>Table 5: 2010 Median Household Income</w:t>
            </w:r>
          </w:p>
          <w:tbl>
            <w:tblPr>
              <w:tblW w:w="3660" w:type="dxa"/>
              <w:tblInd w:w="93" w:type="dxa"/>
              <w:tblLook w:val="04A0" w:firstRow="1" w:lastRow="0" w:firstColumn="1" w:lastColumn="0" w:noHBand="0" w:noVBand="1"/>
            </w:tblPr>
            <w:tblGrid>
              <w:gridCol w:w="2260"/>
              <w:gridCol w:w="1400"/>
            </w:tblGrid>
            <w:tr w:rsidR="00D4428E" w:rsidRPr="00ED0E0F" w14:paraId="35D90EE6" w14:textId="77777777" w:rsidTr="003E4D50">
              <w:trPr>
                <w:trHeight w:val="300"/>
              </w:trPr>
              <w:tc>
                <w:tcPr>
                  <w:tcW w:w="2260" w:type="dxa"/>
                  <w:tcBorders>
                    <w:top w:val="nil"/>
                    <w:left w:val="nil"/>
                    <w:bottom w:val="nil"/>
                    <w:right w:val="nil"/>
                  </w:tcBorders>
                  <w:shd w:val="clear" w:color="auto" w:fill="auto"/>
                  <w:noWrap/>
                  <w:vAlign w:val="bottom"/>
                  <w:hideMark/>
                </w:tcPr>
                <w:p w14:paraId="211A5F71" w14:textId="77777777" w:rsidR="00D4428E" w:rsidRPr="00ED0E0F" w:rsidRDefault="00D4428E" w:rsidP="003E4D50">
                  <w:pPr>
                    <w:rPr>
                      <w:rFonts w:eastAsia="Times New Roman"/>
                      <w:color w:val="222222"/>
                      <w:u w:val="single"/>
                    </w:rPr>
                  </w:pPr>
                  <w:r w:rsidRPr="00ED0E0F">
                    <w:rPr>
                      <w:rFonts w:eastAsia="Times New Roman"/>
                      <w:color w:val="222222"/>
                      <w:u w:val="single"/>
                    </w:rPr>
                    <w:t>City</w:t>
                  </w:r>
                </w:p>
              </w:tc>
              <w:tc>
                <w:tcPr>
                  <w:tcW w:w="1400" w:type="dxa"/>
                  <w:tcBorders>
                    <w:top w:val="nil"/>
                    <w:left w:val="nil"/>
                    <w:bottom w:val="nil"/>
                    <w:right w:val="nil"/>
                  </w:tcBorders>
                  <w:shd w:val="clear" w:color="auto" w:fill="auto"/>
                  <w:noWrap/>
                  <w:vAlign w:val="bottom"/>
                  <w:hideMark/>
                </w:tcPr>
                <w:p w14:paraId="0BCC40A7" w14:textId="77777777" w:rsidR="00D4428E" w:rsidRPr="00ED0E0F" w:rsidRDefault="00D4428E" w:rsidP="003E4D50">
                  <w:pPr>
                    <w:jc w:val="right"/>
                    <w:rPr>
                      <w:rFonts w:eastAsia="Times New Roman"/>
                      <w:color w:val="222222"/>
                      <w:u w:val="single"/>
                    </w:rPr>
                  </w:pPr>
                  <w:r w:rsidRPr="00ED0E0F">
                    <w:rPr>
                      <w:rFonts w:eastAsia="Times New Roman"/>
                      <w:color w:val="222222"/>
                      <w:u w:val="single"/>
                    </w:rPr>
                    <w:t>2010</w:t>
                  </w:r>
                </w:p>
              </w:tc>
            </w:tr>
            <w:tr w:rsidR="00D4428E" w:rsidRPr="00ED0E0F" w14:paraId="60E8CE7D" w14:textId="77777777" w:rsidTr="003E4D50">
              <w:trPr>
                <w:trHeight w:val="300"/>
              </w:trPr>
              <w:tc>
                <w:tcPr>
                  <w:tcW w:w="2260" w:type="dxa"/>
                  <w:tcBorders>
                    <w:top w:val="nil"/>
                    <w:left w:val="nil"/>
                    <w:bottom w:val="nil"/>
                    <w:right w:val="nil"/>
                  </w:tcBorders>
                  <w:shd w:val="clear" w:color="auto" w:fill="auto"/>
                  <w:noWrap/>
                  <w:vAlign w:val="bottom"/>
                  <w:hideMark/>
                </w:tcPr>
                <w:p w14:paraId="631D6B4A" w14:textId="77777777" w:rsidR="00D4428E" w:rsidRPr="00ED0E0F" w:rsidRDefault="00D4428E" w:rsidP="003E4D50">
                  <w:pPr>
                    <w:rPr>
                      <w:rFonts w:eastAsia="Times New Roman"/>
                      <w:color w:val="222222"/>
                    </w:rPr>
                  </w:pPr>
                  <w:r w:rsidRPr="00ED0E0F">
                    <w:rPr>
                      <w:rFonts w:eastAsia="Times New Roman"/>
                      <w:color w:val="222222"/>
                    </w:rPr>
                    <w:t>Morris</w:t>
                  </w:r>
                </w:p>
              </w:tc>
              <w:tc>
                <w:tcPr>
                  <w:tcW w:w="1400" w:type="dxa"/>
                  <w:tcBorders>
                    <w:top w:val="nil"/>
                    <w:left w:val="nil"/>
                    <w:bottom w:val="nil"/>
                    <w:right w:val="nil"/>
                  </w:tcBorders>
                  <w:shd w:val="clear" w:color="auto" w:fill="auto"/>
                  <w:noWrap/>
                  <w:vAlign w:val="bottom"/>
                  <w:hideMark/>
                </w:tcPr>
                <w:p w14:paraId="7AA9D8A3" w14:textId="77777777" w:rsidR="00D4428E" w:rsidRPr="00ED0E0F" w:rsidRDefault="00D4428E" w:rsidP="003E4D50">
                  <w:pPr>
                    <w:jc w:val="right"/>
                    <w:rPr>
                      <w:rFonts w:eastAsia="Times New Roman"/>
                      <w:color w:val="222222"/>
                    </w:rPr>
                  </w:pPr>
                  <w:r w:rsidRPr="00ED0E0F">
                    <w:rPr>
                      <w:rFonts w:eastAsia="Times New Roman"/>
                      <w:color w:val="222222"/>
                    </w:rPr>
                    <w:t>$38,511</w:t>
                  </w:r>
                </w:p>
              </w:tc>
            </w:tr>
            <w:tr w:rsidR="00D4428E" w:rsidRPr="00ED0E0F" w14:paraId="4634DA89" w14:textId="77777777" w:rsidTr="003E4D50">
              <w:trPr>
                <w:trHeight w:val="300"/>
              </w:trPr>
              <w:tc>
                <w:tcPr>
                  <w:tcW w:w="2260" w:type="dxa"/>
                  <w:tcBorders>
                    <w:top w:val="nil"/>
                    <w:left w:val="nil"/>
                    <w:bottom w:val="nil"/>
                    <w:right w:val="nil"/>
                  </w:tcBorders>
                  <w:shd w:val="clear" w:color="auto" w:fill="auto"/>
                  <w:noWrap/>
                  <w:vAlign w:val="bottom"/>
                  <w:hideMark/>
                </w:tcPr>
                <w:p w14:paraId="5E467331" w14:textId="77777777" w:rsidR="00D4428E" w:rsidRPr="00ED0E0F" w:rsidRDefault="00D4428E" w:rsidP="003E4D50">
                  <w:pPr>
                    <w:rPr>
                      <w:rFonts w:eastAsia="Times New Roman"/>
                      <w:color w:val="222222"/>
                    </w:rPr>
                  </w:pPr>
                  <w:r w:rsidRPr="00ED0E0F">
                    <w:rPr>
                      <w:rFonts w:eastAsia="Times New Roman"/>
                      <w:color w:val="222222"/>
                    </w:rPr>
                    <w:t>Hancock</w:t>
                  </w:r>
                </w:p>
              </w:tc>
              <w:tc>
                <w:tcPr>
                  <w:tcW w:w="1400" w:type="dxa"/>
                  <w:tcBorders>
                    <w:top w:val="nil"/>
                    <w:left w:val="nil"/>
                    <w:bottom w:val="nil"/>
                    <w:right w:val="nil"/>
                  </w:tcBorders>
                  <w:shd w:val="clear" w:color="auto" w:fill="auto"/>
                  <w:noWrap/>
                  <w:vAlign w:val="bottom"/>
                  <w:hideMark/>
                </w:tcPr>
                <w:p w14:paraId="4FBDFA36" w14:textId="77777777" w:rsidR="00D4428E" w:rsidRPr="00ED0E0F" w:rsidRDefault="00D4428E" w:rsidP="003E4D50">
                  <w:pPr>
                    <w:jc w:val="right"/>
                    <w:rPr>
                      <w:rFonts w:eastAsia="Times New Roman"/>
                      <w:color w:val="222222"/>
                    </w:rPr>
                  </w:pPr>
                  <w:r w:rsidRPr="00ED0E0F">
                    <w:rPr>
                      <w:rFonts w:eastAsia="Times New Roman"/>
                      <w:color w:val="222222"/>
                    </w:rPr>
                    <w:t>$40,547</w:t>
                  </w:r>
                </w:p>
              </w:tc>
            </w:tr>
            <w:tr w:rsidR="00D4428E" w:rsidRPr="00ED0E0F" w14:paraId="7B27F369" w14:textId="77777777" w:rsidTr="003E4D50">
              <w:trPr>
                <w:trHeight w:val="300"/>
              </w:trPr>
              <w:tc>
                <w:tcPr>
                  <w:tcW w:w="2260" w:type="dxa"/>
                  <w:tcBorders>
                    <w:top w:val="nil"/>
                    <w:left w:val="nil"/>
                    <w:bottom w:val="nil"/>
                    <w:right w:val="nil"/>
                  </w:tcBorders>
                  <w:shd w:val="clear" w:color="auto" w:fill="auto"/>
                  <w:noWrap/>
                  <w:vAlign w:val="bottom"/>
                  <w:hideMark/>
                </w:tcPr>
                <w:p w14:paraId="74B08957" w14:textId="77777777" w:rsidR="00D4428E" w:rsidRPr="00ED0E0F" w:rsidRDefault="00D4428E" w:rsidP="003E4D50">
                  <w:pPr>
                    <w:rPr>
                      <w:rFonts w:eastAsia="Times New Roman"/>
                      <w:color w:val="222222"/>
                    </w:rPr>
                  </w:pPr>
                  <w:proofErr w:type="spellStart"/>
                  <w:r w:rsidRPr="00ED0E0F">
                    <w:rPr>
                      <w:rFonts w:eastAsia="Times New Roman"/>
                      <w:color w:val="222222"/>
                    </w:rPr>
                    <w:t>Chokio</w:t>
                  </w:r>
                  <w:proofErr w:type="spellEnd"/>
                </w:p>
              </w:tc>
              <w:tc>
                <w:tcPr>
                  <w:tcW w:w="1400" w:type="dxa"/>
                  <w:tcBorders>
                    <w:top w:val="nil"/>
                    <w:left w:val="nil"/>
                    <w:bottom w:val="nil"/>
                    <w:right w:val="nil"/>
                  </w:tcBorders>
                  <w:shd w:val="clear" w:color="auto" w:fill="auto"/>
                  <w:noWrap/>
                  <w:vAlign w:val="bottom"/>
                  <w:hideMark/>
                </w:tcPr>
                <w:p w14:paraId="3391CB10" w14:textId="77777777" w:rsidR="00D4428E" w:rsidRPr="00ED0E0F" w:rsidRDefault="00D4428E" w:rsidP="003E4D50">
                  <w:pPr>
                    <w:jc w:val="right"/>
                    <w:rPr>
                      <w:rFonts w:eastAsia="Times New Roman"/>
                      <w:color w:val="222222"/>
                    </w:rPr>
                  </w:pPr>
                  <w:r w:rsidRPr="00ED0E0F">
                    <w:rPr>
                      <w:rFonts w:eastAsia="Times New Roman"/>
                      <w:color w:val="222222"/>
                    </w:rPr>
                    <w:t>$41,563</w:t>
                  </w:r>
                </w:p>
              </w:tc>
            </w:tr>
            <w:tr w:rsidR="00D4428E" w:rsidRPr="00ED0E0F" w14:paraId="45D5AE72" w14:textId="77777777" w:rsidTr="003E4D50">
              <w:trPr>
                <w:trHeight w:val="300"/>
              </w:trPr>
              <w:tc>
                <w:tcPr>
                  <w:tcW w:w="2260" w:type="dxa"/>
                  <w:tcBorders>
                    <w:top w:val="nil"/>
                    <w:left w:val="nil"/>
                    <w:bottom w:val="nil"/>
                    <w:right w:val="nil"/>
                  </w:tcBorders>
                  <w:shd w:val="clear" w:color="auto" w:fill="auto"/>
                  <w:noWrap/>
                  <w:vAlign w:val="bottom"/>
                  <w:hideMark/>
                </w:tcPr>
                <w:p w14:paraId="46B1F1BD" w14:textId="77777777" w:rsidR="00D4428E" w:rsidRPr="00ED0E0F" w:rsidRDefault="00D4428E" w:rsidP="003E4D50">
                  <w:pPr>
                    <w:rPr>
                      <w:rFonts w:eastAsia="Times New Roman"/>
                      <w:color w:val="222222"/>
                    </w:rPr>
                  </w:pPr>
                  <w:r w:rsidRPr="00ED0E0F">
                    <w:rPr>
                      <w:rFonts w:eastAsia="Times New Roman"/>
                      <w:color w:val="222222"/>
                    </w:rPr>
                    <w:t>Donnelly</w:t>
                  </w:r>
                </w:p>
              </w:tc>
              <w:tc>
                <w:tcPr>
                  <w:tcW w:w="1400" w:type="dxa"/>
                  <w:tcBorders>
                    <w:top w:val="nil"/>
                    <w:left w:val="nil"/>
                    <w:bottom w:val="nil"/>
                    <w:right w:val="nil"/>
                  </w:tcBorders>
                  <w:shd w:val="clear" w:color="auto" w:fill="auto"/>
                  <w:noWrap/>
                  <w:vAlign w:val="bottom"/>
                  <w:hideMark/>
                </w:tcPr>
                <w:p w14:paraId="3393BD66" w14:textId="77777777" w:rsidR="00D4428E" w:rsidRPr="00ED0E0F" w:rsidRDefault="00D4428E" w:rsidP="003E4D50">
                  <w:pPr>
                    <w:jc w:val="right"/>
                    <w:rPr>
                      <w:rFonts w:eastAsia="Times New Roman"/>
                      <w:color w:val="222222"/>
                    </w:rPr>
                  </w:pPr>
                  <w:r w:rsidRPr="00ED0E0F">
                    <w:rPr>
                      <w:rFonts w:eastAsia="Times New Roman"/>
                      <w:color w:val="222222"/>
                    </w:rPr>
                    <w:t>$35,625</w:t>
                  </w:r>
                </w:p>
              </w:tc>
            </w:tr>
            <w:tr w:rsidR="00D4428E" w:rsidRPr="00ED0E0F" w14:paraId="743CFF62" w14:textId="77777777" w:rsidTr="003E4D50">
              <w:trPr>
                <w:trHeight w:val="300"/>
              </w:trPr>
              <w:tc>
                <w:tcPr>
                  <w:tcW w:w="2260" w:type="dxa"/>
                  <w:tcBorders>
                    <w:top w:val="nil"/>
                    <w:left w:val="nil"/>
                    <w:bottom w:val="nil"/>
                    <w:right w:val="nil"/>
                  </w:tcBorders>
                  <w:shd w:val="clear" w:color="auto" w:fill="auto"/>
                  <w:noWrap/>
                  <w:vAlign w:val="bottom"/>
                  <w:hideMark/>
                </w:tcPr>
                <w:p w14:paraId="319234B1" w14:textId="77777777" w:rsidR="00D4428E" w:rsidRPr="00ED0E0F" w:rsidRDefault="00D4428E" w:rsidP="003E4D50">
                  <w:pPr>
                    <w:rPr>
                      <w:rFonts w:eastAsia="Times New Roman"/>
                      <w:color w:val="222222"/>
                    </w:rPr>
                  </w:pPr>
                  <w:r w:rsidRPr="00ED0E0F">
                    <w:rPr>
                      <w:rFonts w:eastAsia="Times New Roman"/>
                      <w:color w:val="222222"/>
                    </w:rPr>
                    <w:t>Alberta</w:t>
                  </w:r>
                </w:p>
              </w:tc>
              <w:tc>
                <w:tcPr>
                  <w:tcW w:w="1400" w:type="dxa"/>
                  <w:tcBorders>
                    <w:top w:val="nil"/>
                    <w:left w:val="nil"/>
                    <w:bottom w:val="nil"/>
                    <w:right w:val="nil"/>
                  </w:tcBorders>
                  <w:shd w:val="clear" w:color="auto" w:fill="auto"/>
                  <w:noWrap/>
                  <w:vAlign w:val="bottom"/>
                  <w:hideMark/>
                </w:tcPr>
                <w:p w14:paraId="50FC25A5" w14:textId="77777777" w:rsidR="00D4428E" w:rsidRPr="00ED0E0F" w:rsidRDefault="00D4428E" w:rsidP="003E4D50">
                  <w:pPr>
                    <w:jc w:val="right"/>
                    <w:rPr>
                      <w:rFonts w:eastAsia="Times New Roman"/>
                      <w:color w:val="222222"/>
                    </w:rPr>
                  </w:pPr>
                  <w:r w:rsidRPr="00ED0E0F">
                    <w:rPr>
                      <w:rFonts w:eastAsia="Times New Roman"/>
                      <w:color w:val="222222"/>
                    </w:rPr>
                    <w:t>$37,750</w:t>
                  </w:r>
                </w:p>
              </w:tc>
            </w:tr>
          </w:tbl>
          <w:p w14:paraId="631E47A3" w14:textId="77777777" w:rsidR="00D4428E" w:rsidRPr="00ED0E0F" w:rsidRDefault="00D4428E" w:rsidP="003E4D50">
            <w:pPr>
              <w:rPr>
                <w:b/>
              </w:rPr>
            </w:pPr>
          </w:p>
          <w:p w14:paraId="1BAF2DEE" w14:textId="77777777" w:rsidR="00D4428E" w:rsidRPr="00ED0E0F" w:rsidRDefault="00D4428E" w:rsidP="003E4D50"/>
          <w:p w14:paraId="2A81C4A6" w14:textId="77777777" w:rsidR="00D4428E" w:rsidRPr="00ED0E0F" w:rsidRDefault="00D4428E" w:rsidP="003E4D50">
            <w:pPr>
              <w:rPr>
                <w:rFonts w:eastAsia="Times New Roman"/>
                <w:color w:val="000000"/>
              </w:rPr>
            </w:pPr>
          </w:p>
          <w:p w14:paraId="4F61EF31" w14:textId="77777777" w:rsidR="00D4428E" w:rsidRPr="00ED0E0F" w:rsidRDefault="00D4428E" w:rsidP="003E4D50">
            <w:pPr>
              <w:rPr>
                <w:rFonts w:eastAsia="Times New Roman"/>
                <w:color w:val="000000"/>
              </w:rPr>
            </w:pPr>
          </w:p>
          <w:p w14:paraId="7B22114D" w14:textId="77777777" w:rsidR="00D4428E" w:rsidRPr="00ED0E0F" w:rsidRDefault="00D4428E" w:rsidP="003E4D50">
            <w:pPr>
              <w:rPr>
                <w:b/>
              </w:rPr>
            </w:pPr>
            <w:r w:rsidRPr="00ED0E0F">
              <w:rPr>
                <w:b/>
              </w:rPr>
              <w:t>Table 6: Morris Household Income in 2010</w:t>
            </w:r>
          </w:p>
          <w:p w14:paraId="64FEA364" w14:textId="77777777" w:rsidR="00D4428E" w:rsidRPr="00ED0E0F" w:rsidRDefault="00D4428E" w:rsidP="003E4D50">
            <w:pPr>
              <w:rPr>
                <w:b/>
              </w:rPr>
            </w:pPr>
            <w:r w:rsidRPr="00ED0E0F">
              <w:rPr>
                <w:b/>
              </w:rPr>
              <w:t xml:space="preserve">                   (</w:t>
            </w:r>
            <w:proofErr w:type="gramStart"/>
            <w:r w:rsidRPr="00ED0E0F">
              <w:rPr>
                <w:b/>
              </w:rPr>
              <w:t>n</w:t>
            </w:r>
            <w:proofErr w:type="gramEnd"/>
            <w:r w:rsidRPr="00ED0E0F">
              <w:rPr>
                <w:b/>
              </w:rPr>
              <w:t>=1,931)</w:t>
            </w:r>
          </w:p>
          <w:tbl>
            <w:tblPr>
              <w:tblW w:w="3928" w:type="dxa"/>
              <w:tblInd w:w="124" w:type="dxa"/>
              <w:tblLook w:val="04A0" w:firstRow="1" w:lastRow="0" w:firstColumn="1" w:lastColumn="0" w:noHBand="0" w:noVBand="1"/>
            </w:tblPr>
            <w:tblGrid>
              <w:gridCol w:w="2439"/>
              <w:gridCol w:w="1489"/>
            </w:tblGrid>
            <w:tr w:rsidR="00D4428E" w:rsidRPr="00ED0E0F" w14:paraId="71892C39" w14:textId="77777777" w:rsidTr="003E4D50">
              <w:trPr>
                <w:trHeight w:val="295"/>
              </w:trPr>
              <w:tc>
                <w:tcPr>
                  <w:tcW w:w="2439" w:type="dxa"/>
                  <w:tcBorders>
                    <w:top w:val="nil"/>
                    <w:left w:val="nil"/>
                    <w:bottom w:val="nil"/>
                    <w:right w:val="nil"/>
                  </w:tcBorders>
                  <w:shd w:val="clear" w:color="auto" w:fill="auto"/>
                  <w:noWrap/>
                  <w:vAlign w:val="bottom"/>
                  <w:hideMark/>
                </w:tcPr>
                <w:p w14:paraId="17CF2D3D" w14:textId="77777777" w:rsidR="00D4428E" w:rsidRPr="00ED0E0F" w:rsidRDefault="00D4428E" w:rsidP="003E4D50">
                  <w:pPr>
                    <w:rPr>
                      <w:rFonts w:eastAsia="Times New Roman"/>
                      <w:bCs/>
                      <w:color w:val="222222"/>
                    </w:rPr>
                  </w:pPr>
                </w:p>
                <w:p w14:paraId="020744F2" w14:textId="77777777" w:rsidR="00D4428E" w:rsidRPr="00ED0E0F" w:rsidRDefault="00D4428E" w:rsidP="003E4D50">
                  <w:pPr>
                    <w:rPr>
                      <w:rFonts w:eastAsia="Times New Roman"/>
                      <w:bCs/>
                      <w:color w:val="222222"/>
                    </w:rPr>
                  </w:pPr>
                  <w:r w:rsidRPr="00ED0E0F">
                    <w:rPr>
                      <w:rFonts w:eastAsia="Times New Roman"/>
                      <w:bCs/>
                      <w:color w:val="222222"/>
                    </w:rPr>
                    <w:t>Less than $10,000</w:t>
                  </w:r>
                </w:p>
              </w:tc>
              <w:tc>
                <w:tcPr>
                  <w:tcW w:w="1489" w:type="dxa"/>
                  <w:tcBorders>
                    <w:top w:val="nil"/>
                    <w:left w:val="nil"/>
                    <w:bottom w:val="nil"/>
                    <w:right w:val="nil"/>
                  </w:tcBorders>
                  <w:shd w:val="clear" w:color="auto" w:fill="auto"/>
                  <w:noWrap/>
                  <w:vAlign w:val="bottom"/>
                  <w:hideMark/>
                </w:tcPr>
                <w:p w14:paraId="6BECABD6" w14:textId="77777777" w:rsidR="00D4428E" w:rsidRPr="00ED0E0F" w:rsidRDefault="00D4428E" w:rsidP="003E4D50">
                  <w:pPr>
                    <w:jc w:val="right"/>
                    <w:rPr>
                      <w:rFonts w:eastAsia="Times New Roman"/>
                      <w:color w:val="222222"/>
                    </w:rPr>
                  </w:pPr>
                  <w:r w:rsidRPr="00ED0E0F">
                    <w:rPr>
                      <w:rFonts w:eastAsia="Times New Roman"/>
                      <w:color w:val="222222"/>
                    </w:rPr>
                    <w:t>258</w:t>
                  </w:r>
                </w:p>
              </w:tc>
            </w:tr>
            <w:tr w:rsidR="00D4428E" w:rsidRPr="00ED0E0F" w14:paraId="4880C9BF" w14:textId="77777777" w:rsidTr="003E4D50">
              <w:trPr>
                <w:trHeight w:val="295"/>
              </w:trPr>
              <w:tc>
                <w:tcPr>
                  <w:tcW w:w="2439" w:type="dxa"/>
                  <w:tcBorders>
                    <w:top w:val="nil"/>
                    <w:left w:val="nil"/>
                    <w:bottom w:val="nil"/>
                    <w:right w:val="nil"/>
                  </w:tcBorders>
                  <w:shd w:val="clear" w:color="auto" w:fill="auto"/>
                  <w:noWrap/>
                  <w:vAlign w:val="bottom"/>
                  <w:hideMark/>
                </w:tcPr>
                <w:p w14:paraId="367284D0" w14:textId="77777777" w:rsidR="00D4428E" w:rsidRPr="00ED0E0F" w:rsidRDefault="00D4428E" w:rsidP="003E4D50">
                  <w:pPr>
                    <w:rPr>
                      <w:rFonts w:eastAsia="Times New Roman"/>
                      <w:bCs/>
                      <w:color w:val="222222"/>
                    </w:rPr>
                  </w:pPr>
                  <w:r w:rsidRPr="00ED0E0F">
                    <w:rPr>
                      <w:rFonts w:eastAsia="Times New Roman"/>
                      <w:bCs/>
                      <w:color w:val="222222"/>
                    </w:rPr>
                    <w:t>$10,000 to $14,999</w:t>
                  </w:r>
                </w:p>
              </w:tc>
              <w:tc>
                <w:tcPr>
                  <w:tcW w:w="1489" w:type="dxa"/>
                  <w:tcBorders>
                    <w:top w:val="nil"/>
                    <w:left w:val="nil"/>
                    <w:bottom w:val="nil"/>
                    <w:right w:val="nil"/>
                  </w:tcBorders>
                  <w:shd w:val="clear" w:color="auto" w:fill="auto"/>
                  <w:noWrap/>
                  <w:vAlign w:val="bottom"/>
                  <w:hideMark/>
                </w:tcPr>
                <w:p w14:paraId="625DEE03" w14:textId="77777777" w:rsidR="00D4428E" w:rsidRPr="00ED0E0F" w:rsidRDefault="00D4428E" w:rsidP="003E4D50">
                  <w:pPr>
                    <w:jc w:val="right"/>
                    <w:rPr>
                      <w:rFonts w:eastAsia="Times New Roman"/>
                      <w:color w:val="222222"/>
                    </w:rPr>
                  </w:pPr>
                  <w:r w:rsidRPr="00ED0E0F">
                    <w:rPr>
                      <w:rFonts w:eastAsia="Times New Roman"/>
                      <w:color w:val="222222"/>
                    </w:rPr>
                    <w:t>121</w:t>
                  </w:r>
                </w:p>
              </w:tc>
            </w:tr>
            <w:tr w:rsidR="00D4428E" w:rsidRPr="00ED0E0F" w14:paraId="57457CB3" w14:textId="77777777" w:rsidTr="003E4D50">
              <w:trPr>
                <w:trHeight w:val="295"/>
              </w:trPr>
              <w:tc>
                <w:tcPr>
                  <w:tcW w:w="2439" w:type="dxa"/>
                  <w:tcBorders>
                    <w:top w:val="nil"/>
                    <w:left w:val="nil"/>
                    <w:bottom w:val="nil"/>
                    <w:right w:val="nil"/>
                  </w:tcBorders>
                  <w:shd w:val="clear" w:color="auto" w:fill="auto"/>
                  <w:noWrap/>
                  <w:vAlign w:val="bottom"/>
                  <w:hideMark/>
                </w:tcPr>
                <w:p w14:paraId="0FC88A5E" w14:textId="77777777" w:rsidR="00D4428E" w:rsidRPr="00ED0E0F" w:rsidRDefault="00D4428E" w:rsidP="003E4D50">
                  <w:pPr>
                    <w:rPr>
                      <w:rFonts w:eastAsia="Times New Roman"/>
                      <w:bCs/>
                      <w:color w:val="222222"/>
                    </w:rPr>
                  </w:pPr>
                  <w:r w:rsidRPr="00ED0E0F">
                    <w:rPr>
                      <w:rFonts w:eastAsia="Times New Roman"/>
                      <w:bCs/>
                      <w:color w:val="222222"/>
                    </w:rPr>
                    <w:t>$15,000 to $24,999</w:t>
                  </w:r>
                </w:p>
              </w:tc>
              <w:tc>
                <w:tcPr>
                  <w:tcW w:w="1489" w:type="dxa"/>
                  <w:tcBorders>
                    <w:top w:val="nil"/>
                    <w:left w:val="nil"/>
                    <w:bottom w:val="nil"/>
                    <w:right w:val="nil"/>
                  </w:tcBorders>
                  <w:shd w:val="clear" w:color="auto" w:fill="auto"/>
                  <w:noWrap/>
                  <w:vAlign w:val="bottom"/>
                  <w:hideMark/>
                </w:tcPr>
                <w:p w14:paraId="1B70F3CB" w14:textId="77777777" w:rsidR="00D4428E" w:rsidRPr="00ED0E0F" w:rsidRDefault="00D4428E" w:rsidP="003E4D50">
                  <w:pPr>
                    <w:jc w:val="right"/>
                    <w:rPr>
                      <w:rFonts w:eastAsia="Times New Roman"/>
                      <w:color w:val="222222"/>
                    </w:rPr>
                  </w:pPr>
                  <w:r w:rsidRPr="00ED0E0F">
                    <w:rPr>
                      <w:rFonts w:eastAsia="Times New Roman"/>
                      <w:color w:val="222222"/>
                    </w:rPr>
                    <w:t>301</w:t>
                  </w:r>
                </w:p>
              </w:tc>
            </w:tr>
            <w:tr w:rsidR="00D4428E" w:rsidRPr="00ED0E0F" w14:paraId="0CCDBF8C" w14:textId="77777777" w:rsidTr="003E4D50">
              <w:trPr>
                <w:trHeight w:val="295"/>
              </w:trPr>
              <w:tc>
                <w:tcPr>
                  <w:tcW w:w="2439" w:type="dxa"/>
                  <w:tcBorders>
                    <w:top w:val="nil"/>
                    <w:left w:val="nil"/>
                    <w:bottom w:val="nil"/>
                    <w:right w:val="nil"/>
                  </w:tcBorders>
                  <w:shd w:val="clear" w:color="auto" w:fill="auto"/>
                  <w:noWrap/>
                  <w:vAlign w:val="bottom"/>
                  <w:hideMark/>
                </w:tcPr>
                <w:p w14:paraId="1FCDC395" w14:textId="77777777" w:rsidR="00D4428E" w:rsidRPr="00ED0E0F" w:rsidRDefault="00D4428E" w:rsidP="003E4D50">
                  <w:pPr>
                    <w:rPr>
                      <w:rFonts w:eastAsia="Times New Roman"/>
                      <w:bCs/>
                      <w:color w:val="222222"/>
                    </w:rPr>
                  </w:pPr>
                  <w:r w:rsidRPr="00ED0E0F">
                    <w:rPr>
                      <w:rFonts w:eastAsia="Times New Roman"/>
                      <w:bCs/>
                      <w:color w:val="222222"/>
                    </w:rPr>
                    <w:t>$25,000 to $34,999</w:t>
                  </w:r>
                </w:p>
              </w:tc>
              <w:tc>
                <w:tcPr>
                  <w:tcW w:w="1489" w:type="dxa"/>
                  <w:tcBorders>
                    <w:top w:val="nil"/>
                    <w:left w:val="nil"/>
                    <w:bottom w:val="nil"/>
                    <w:right w:val="nil"/>
                  </w:tcBorders>
                  <w:shd w:val="clear" w:color="auto" w:fill="auto"/>
                  <w:noWrap/>
                  <w:vAlign w:val="bottom"/>
                  <w:hideMark/>
                </w:tcPr>
                <w:p w14:paraId="33D4FBD4" w14:textId="77777777" w:rsidR="00D4428E" w:rsidRPr="00ED0E0F" w:rsidRDefault="00D4428E" w:rsidP="003E4D50">
                  <w:pPr>
                    <w:jc w:val="right"/>
                    <w:rPr>
                      <w:rFonts w:eastAsia="Times New Roman"/>
                      <w:color w:val="222222"/>
                    </w:rPr>
                  </w:pPr>
                  <w:r w:rsidRPr="00ED0E0F">
                    <w:rPr>
                      <w:rFonts w:eastAsia="Times New Roman"/>
                      <w:color w:val="222222"/>
                    </w:rPr>
                    <w:t>237</w:t>
                  </w:r>
                </w:p>
              </w:tc>
            </w:tr>
            <w:tr w:rsidR="00D4428E" w:rsidRPr="00ED0E0F" w14:paraId="58968226" w14:textId="77777777" w:rsidTr="003E4D50">
              <w:trPr>
                <w:trHeight w:val="295"/>
              </w:trPr>
              <w:tc>
                <w:tcPr>
                  <w:tcW w:w="2439" w:type="dxa"/>
                  <w:tcBorders>
                    <w:top w:val="nil"/>
                    <w:left w:val="nil"/>
                    <w:bottom w:val="nil"/>
                    <w:right w:val="nil"/>
                  </w:tcBorders>
                  <w:shd w:val="clear" w:color="auto" w:fill="auto"/>
                  <w:noWrap/>
                  <w:vAlign w:val="bottom"/>
                  <w:hideMark/>
                </w:tcPr>
                <w:p w14:paraId="4C3A14EE" w14:textId="77777777" w:rsidR="00D4428E" w:rsidRPr="00ED0E0F" w:rsidRDefault="00D4428E" w:rsidP="003E4D50">
                  <w:pPr>
                    <w:rPr>
                      <w:rFonts w:eastAsia="Times New Roman"/>
                      <w:bCs/>
                      <w:color w:val="222222"/>
                    </w:rPr>
                  </w:pPr>
                  <w:r w:rsidRPr="00ED0E0F">
                    <w:rPr>
                      <w:rFonts w:eastAsia="Times New Roman"/>
                      <w:bCs/>
                      <w:color w:val="222222"/>
                    </w:rPr>
                    <w:t>$35,000 to $49,999</w:t>
                  </w:r>
                </w:p>
              </w:tc>
              <w:tc>
                <w:tcPr>
                  <w:tcW w:w="1489" w:type="dxa"/>
                  <w:tcBorders>
                    <w:top w:val="nil"/>
                    <w:left w:val="nil"/>
                    <w:bottom w:val="nil"/>
                    <w:right w:val="nil"/>
                  </w:tcBorders>
                  <w:shd w:val="clear" w:color="auto" w:fill="auto"/>
                  <w:noWrap/>
                  <w:vAlign w:val="bottom"/>
                  <w:hideMark/>
                </w:tcPr>
                <w:p w14:paraId="6B41DBB4" w14:textId="77777777" w:rsidR="00D4428E" w:rsidRPr="00ED0E0F" w:rsidRDefault="00D4428E" w:rsidP="003E4D50">
                  <w:pPr>
                    <w:jc w:val="right"/>
                    <w:rPr>
                      <w:rFonts w:eastAsia="Times New Roman"/>
                      <w:color w:val="222222"/>
                    </w:rPr>
                  </w:pPr>
                  <w:r w:rsidRPr="00ED0E0F">
                    <w:rPr>
                      <w:rFonts w:eastAsia="Times New Roman"/>
                      <w:color w:val="222222"/>
                    </w:rPr>
                    <w:t>222</w:t>
                  </w:r>
                </w:p>
              </w:tc>
            </w:tr>
            <w:tr w:rsidR="00D4428E" w:rsidRPr="00ED0E0F" w14:paraId="33C01F06" w14:textId="77777777" w:rsidTr="003E4D50">
              <w:trPr>
                <w:trHeight w:val="295"/>
              </w:trPr>
              <w:tc>
                <w:tcPr>
                  <w:tcW w:w="2439" w:type="dxa"/>
                  <w:tcBorders>
                    <w:top w:val="nil"/>
                    <w:left w:val="nil"/>
                    <w:bottom w:val="nil"/>
                    <w:right w:val="nil"/>
                  </w:tcBorders>
                  <w:shd w:val="clear" w:color="auto" w:fill="auto"/>
                  <w:noWrap/>
                  <w:vAlign w:val="bottom"/>
                  <w:hideMark/>
                </w:tcPr>
                <w:p w14:paraId="210BCC17" w14:textId="77777777" w:rsidR="00D4428E" w:rsidRPr="00ED0E0F" w:rsidRDefault="00D4428E" w:rsidP="003E4D50">
                  <w:pPr>
                    <w:rPr>
                      <w:rFonts w:eastAsia="Times New Roman"/>
                      <w:bCs/>
                      <w:color w:val="222222"/>
                    </w:rPr>
                  </w:pPr>
                  <w:r w:rsidRPr="00ED0E0F">
                    <w:rPr>
                      <w:rFonts w:eastAsia="Times New Roman"/>
                      <w:bCs/>
                      <w:color w:val="222222"/>
                    </w:rPr>
                    <w:t>$50,000 to $74,999</w:t>
                  </w:r>
                </w:p>
              </w:tc>
              <w:tc>
                <w:tcPr>
                  <w:tcW w:w="1489" w:type="dxa"/>
                  <w:tcBorders>
                    <w:top w:val="nil"/>
                    <w:left w:val="nil"/>
                    <w:bottom w:val="nil"/>
                    <w:right w:val="nil"/>
                  </w:tcBorders>
                  <w:shd w:val="clear" w:color="auto" w:fill="auto"/>
                  <w:noWrap/>
                  <w:vAlign w:val="bottom"/>
                  <w:hideMark/>
                </w:tcPr>
                <w:p w14:paraId="5CA1517D" w14:textId="77777777" w:rsidR="00D4428E" w:rsidRPr="00ED0E0F" w:rsidRDefault="00D4428E" w:rsidP="003E4D50">
                  <w:pPr>
                    <w:jc w:val="right"/>
                    <w:rPr>
                      <w:rFonts w:eastAsia="Times New Roman"/>
                      <w:color w:val="222222"/>
                    </w:rPr>
                  </w:pPr>
                  <w:r w:rsidRPr="00ED0E0F">
                    <w:rPr>
                      <w:rFonts w:eastAsia="Times New Roman"/>
                      <w:color w:val="222222"/>
                    </w:rPr>
                    <w:t>307</w:t>
                  </w:r>
                </w:p>
              </w:tc>
            </w:tr>
            <w:tr w:rsidR="00D4428E" w:rsidRPr="00ED0E0F" w14:paraId="27E794CA" w14:textId="77777777" w:rsidTr="003E4D50">
              <w:trPr>
                <w:trHeight w:val="295"/>
              </w:trPr>
              <w:tc>
                <w:tcPr>
                  <w:tcW w:w="2439" w:type="dxa"/>
                  <w:tcBorders>
                    <w:top w:val="nil"/>
                    <w:left w:val="nil"/>
                    <w:bottom w:val="nil"/>
                    <w:right w:val="nil"/>
                  </w:tcBorders>
                  <w:shd w:val="clear" w:color="auto" w:fill="auto"/>
                  <w:noWrap/>
                  <w:vAlign w:val="bottom"/>
                  <w:hideMark/>
                </w:tcPr>
                <w:p w14:paraId="6C72F142" w14:textId="77777777" w:rsidR="00D4428E" w:rsidRPr="00ED0E0F" w:rsidRDefault="00D4428E" w:rsidP="003E4D50">
                  <w:pPr>
                    <w:rPr>
                      <w:rFonts w:eastAsia="Times New Roman"/>
                      <w:bCs/>
                      <w:color w:val="222222"/>
                    </w:rPr>
                  </w:pPr>
                  <w:r w:rsidRPr="00ED0E0F">
                    <w:rPr>
                      <w:rFonts w:eastAsia="Times New Roman"/>
                      <w:bCs/>
                      <w:color w:val="222222"/>
                    </w:rPr>
                    <w:t>$75,000 to $99,999</w:t>
                  </w:r>
                </w:p>
              </w:tc>
              <w:tc>
                <w:tcPr>
                  <w:tcW w:w="1489" w:type="dxa"/>
                  <w:tcBorders>
                    <w:top w:val="nil"/>
                    <w:left w:val="nil"/>
                    <w:bottom w:val="nil"/>
                    <w:right w:val="nil"/>
                  </w:tcBorders>
                  <w:shd w:val="clear" w:color="auto" w:fill="auto"/>
                  <w:noWrap/>
                  <w:vAlign w:val="bottom"/>
                  <w:hideMark/>
                </w:tcPr>
                <w:p w14:paraId="109E6724" w14:textId="77777777" w:rsidR="00D4428E" w:rsidRPr="00ED0E0F" w:rsidRDefault="00D4428E" w:rsidP="003E4D50">
                  <w:pPr>
                    <w:jc w:val="right"/>
                    <w:rPr>
                      <w:rFonts w:eastAsia="Times New Roman"/>
                      <w:color w:val="222222"/>
                    </w:rPr>
                  </w:pPr>
                  <w:r w:rsidRPr="00ED0E0F">
                    <w:rPr>
                      <w:rFonts w:eastAsia="Times New Roman"/>
                      <w:color w:val="222222"/>
                    </w:rPr>
                    <w:t>206</w:t>
                  </w:r>
                </w:p>
              </w:tc>
            </w:tr>
            <w:tr w:rsidR="00D4428E" w:rsidRPr="00ED0E0F" w14:paraId="0913CC17" w14:textId="77777777" w:rsidTr="003E4D50">
              <w:trPr>
                <w:trHeight w:val="295"/>
              </w:trPr>
              <w:tc>
                <w:tcPr>
                  <w:tcW w:w="2439" w:type="dxa"/>
                  <w:tcBorders>
                    <w:top w:val="nil"/>
                    <w:left w:val="nil"/>
                    <w:bottom w:val="nil"/>
                    <w:right w:val="nil"/>
                  </w:tcBorders>
                  <w:shd w:val="clear" w:color="auto" w:fill="auto"/>
                  <w:noWrap/>
                  <w:vAlign w:val="bottom"/>
                  <w:hideMark/>
                </w:tcPr>
                <w:p w14:paraId="7A43D282" w14:textId="77777777" w:rsidR="00D4428E" w:rsidRPr="00ED0E0F" w:rsidRDefault="00D4428E" w:rsidP="003E4D50">
                  <w:pPr>
                    <w:rPr>
                      <w:rFonts w:eastAsia="Times New Roman"/>
                      <w:bCs/>
                      <w:color w:val="222222"/>
                    </w:rPr>
                  </w:pPr>
                  <w:r w:rsidRPr="00ED0E0F">
                    <w:rPr>
                      <w:rFonts w:eastAsia="Times New Roman"/>
                      <w:bCs/>
                      <w:color w:val="222222"/>
                    </w:rPr>
                    <w:t>$100,000 to$149,999</w:t>
                  </w:r>
                </w:p>
              </w:tc>
              <w:tc>
                <w:tcPr>
                  <w:tcW w:w="1489" w:type="dxa"/>
                  <w:tcBorders>
                    <w:top w:val="nil"/>
                    <w:left w:val="nil"/>
                    <w:bottom w:val="nil"/>
                    <w:right w:val="nil"/>
                  </w:tcBorders>
                  <w:shd w:val="clear" w:color="auto" w:fill="auto"/>
                  <w:noWrap/>
                  <w:vAlign w:val="bottom"/>
                  <w:hideMark/>
                </w:tcPr>
                <w:p w14:paraId="16EFD039" w14:textId="77777777" w:rsidR="00D4428E" w:rsidRPr="00ED0E0F" w:rsidRDefault="00D4428E" w:rsidP="003E4D50">
                  <w:pPr>
                    <w:jc w:val="right"/>
                    <w:rPr>
                      <w:rFonts w:eastAsia="Times New Roman"/>
                      <w:color w:val="222222"/>
                    </w:rPr>
                  </w:pPr>
                  <w:r w:rsidRPr="00ED0E0F">
                    <w:rPr>
                      <w:rFonts w:eastAsia="Times New Roman"/>
                      <w:color w:val="222222"/>
                    </w:rPr>
                    <w:t>203</w:t>
                  </w:r>
                </w:p>
              </w:tc>
            </w:tr>
            <w:tr w:rsidR="00D4428E" w:rsidRPr="00ED0E0F" w14:paraId="450934D7" w14:textId="77777777" w:rsidTr="003E4D50">
              <w:trPr>
                <w:trHeight w:val="295"/>
              </w:trPr>
              <w:tc>
                <w:tcPr>
                  <w:tcW w:w="2439" w:type="dxa"/>
                  <w:tcBorders>
                    <w:top w:val="nil"/>
                    <w:left w:val="nil"/>
                    <w:bottom w:val="nil"/>
                    <w:right w:val="nil"/>
                  </w:tcBorders>
                  <w:shd w:val="clear" w:color="auto" w:fill="auto"/>
                  <w:noWrap/>
                  <w:vAlign w:val="bottom"/>
                  <w:hideMark/>
                </w:tcPr>
                <w:p w14:paraId="5789365E" w14:textId="77777777" w:rsidR="00D4428E" w:rsidRPr="00ED0E0F" w:rsidRDefault="00D4428E" w:rsidP="003E4D50">
                  <w:pPr>
                    <w:rPr>
                      <w:rFonts w:eastAsia="Times New Roman"/>
                      <w:bCs/>
                      <w:color w:val="222222"/>
                    </w:rPr>
                  </w:pPr>
                  <w:r w:rsidRPr="00ED0E0F">
                    <w:rPr>
                      <w:rFonts w:eastAsia="Times New Roman"/>
                      <w:bCs/>
                      <w:color w:val="222222"/>
                    </w:rPr>
                    <w:t>$150,000 to $199,999</w:t>
                  </w:r>
                </w:p>
              </w:tc>
              <w:tc>
                <w:tcPr>
                  <w:tcW w:w="1489" w:type="dxa"/>
                  <w:tcBorders>
                    <w:top w:val="nil"/>
                    <w:left w:val="nil"/>
                    <w:bottom w:val="nil"/>
                    <w:right w:val="nil"/>
                  </w:tcBorders>
                  <w:shd w:val="clear" w:color="auto" w:fill="auto"/>
                  <w:noWrap/>
                  <w:vAlign w:val="bottom"/>
                  <w:hideMark/>
                </w:tcPr>
                <w:p w14:paraId="45F78DD6" w14:textId="77777777" w:rsidR="00D4428E" w:rsidRPr="00ED0E0F" w:rsidRDefault="00D4428E" w:rsidP="003E4D50">
                  <w:pPr>
                    <w:jc w:val="right"/>
                    <w:rPr>
                      <w:rFonts w:eastAsia="Times New Roman"/>
                      <w:color w:val="222222"/>
                    </w:rPr>
                  </w:pPr>
                  <w:r w:rsidRPr="00ED0E0F">
                    <w:rPr>
                      <w:rFonts w:eastAsia="Times New Roman"/>
                      <w:color w:val="222222"/>
                    </w:rPr>
                    <w:t>39</w:t>
                  </w:r>
                </w:p>
              </w:tc>
            </w:tr>
            <w:tr w:rsidR="00D4428E" w:rsidRPr="00ED0E0F" w14:paraId="426E5683" w14:textId="77777777" w:rsidTr="003E4D50">
              <w:trPr>
                <w:trHeight w:val="295"/>
              </w:trPr>
              <w:tc>
                <w:tcPr>
                  <w:tcW w:w="2439" w:type="dxa"/>
                  <w:tcBorders>
                    <w:top w:val="nil"/>
                    <w:left w:val="nil"/>
                    <w:bottom w:val="nil"/>
                    <w:right w:val="nil"/>
                  </w:tcBorders>
                  <w:shd w:val="clear" w:color="auto" w:fill="auto"/>
                  <w:noWrap/>
                  <w:vAlign w:val="bottom"/>
                  <w:hideMark/>
                </w:tcPr>
                <w:p w14:paraId="0D3CFDBE" w14:textId="77777777" w:rsidR="00D4428E" w:rsidRPr="00ED0E0F" w:rsidRDefault="00D4428E" w:rsidP="003E4D50">
                  <w:pPr>
                    <w:rPr>
                      <w:rFonts w:eastAsia="Times New Roman"/>
                      <w:bCs/>
                      <w:color w:val="000000"/>
                    </w:rPr>
                  </w:pPr>
                  <w:r w:rsidRPr="00ED0E0F">
                    <w:rPr>
                      <w:rFonts w:eastAsia="Times New Roman"/>
                      <w:bCs/>
                      <w:color w:val="000000"/>
                    </w:rPr>
                    <w:t>$200,000 or more</w:t>
                  </w:r>
                </w:p>
              </w:tc>
              <w:tc>
                <w:tcPr>
                  <w:tcW w:w="1489" w:type="dxa"/>
                  <w:tcBorders>
                    <w:top w:val="nil"/>
                    <w:left w:val="nil"/>
                    <w:bottom w:val="nil"/>
                    <w:right w:val="nil"/>
                  </w:tcBorders>
                  <w:shd w:val="clear" w:color="auto" w:fill="auto"/>
                  <w:noWrap/>
                  <w:vAlign w:val="bottom"/>
                  <w:hideMark/>
                </w:tcPr>
                <w:p w14:paraId="77DF0922" w14:textId="77777777" w:rsidR="00D4428E" w:rsidRPr="00ED0E0F" w:rsidRDefault="00D4428E" w:rsidP="003E4D50">
                  <w:pPr>
                    <w:jc w:val="right"/>
                    <w:rPr>
                      <w:rFonts w:eastAsia="Times New Roman"/>
                      <w:color w:val="000000"/>
                    </w:rPr>
                  </w:pPr>
                  <w:r w:rsidRPr="00ED0E0F">
                    <w:rPr>
                      <w:rFonts w:eastAsia="Times New Roman"/>
                      <w:color w:val="000000"/>
                    </w:rPr>
                    <w:t>37</w:t>
                  </w:r>
                </w:p>
              </w:tc>
            </w:tr>
          </w:tbl>
          <w:p w14:paraId="1DF9AE7E" w14:textId="77777777" w:rsidR="00D4428E" w:rsidRPr="00ED0E0F" w:rsidRDefault="00D4428E" w:rsidP="003E4D50"/>
          <w:p w14:paraId="0EA7D585" w14:textId="77777777" w:rsidR="00D4428E" w:rsidRPr="00ED0E0F" w:rsidRDefault="00D4428E" w:rsidP="003E4D50">
            <w:pPr>
              <w:rPr>
                <w:rFonts w:eastAsia="Times New Roman"/>
                <w:b/>
                <w:color w:val="000000"/>
              </w:rPr>
            </w:pPr>
          </w:p>
          <w:p w14:paraId="57B6F634" w14:textId="77777777" w:rsidR="00D4428E" w:rsidRPr="00ED0E0F" w:rsidRDefault="00D4428E" w:rsidP="003E4D50">
            <w:pPr>
              <w:rPr>
                <w:rFonts w:eastAsia="Times New Roman"/>
                <w:b/>
                <w:color w:val="000000"/>
              </w:rPr>
            </w:pPr>
          </w:p>
          <w:p w14:paraId="21100D26" w14:textId="77777777" w:rsidR="00D4428E" w:rsidRPr="00ED0E0F" w:rsidRDefault="00D4428E" w:rsidP="003E4D50">
            <w:pPr>
              <w:rPr>
                <w:rFonts w:eastAsia="Times New Roman"/>
                <w:b/>
                <w:color w:val="000000"/>
              </w:rPr>
            </w:pPr>
          </w:p>
          <w:p w14:paraId="7FD51FA0" w14:textId="77777777" w:rsidR="00D4428E" w:rsidRPr="00ED0E0F" w:rsidRDefault="00D4428E" w:rsidP="003E4D50">
            <w:pPr>
              <w:rPr>
                <w:rFonts w:eastAsia="Times New Roman"/>
                <w:b/>
                <w:color w:val="000000"/>
              </w:rPr>
            </w:pPr>
          </w:p>
          <w:p w14:paraId="2E2B3F80" w14:textId="77777777" w:rsidR="00D4428E" w:rsidRPr="00ED0E0F" w:rsidRDefault="00D4428E" w:rsidP="003E4D50">
            <w:pPr>
              <w:rPr>
                <w:rFonts w:eastAsia="Times New Roman"/>
                <w:b/>
                <w:color w:val="000000"/>
              </w:rPr>
            </w:pPr>
          </w:p>
          <w:p w14:paraId="4C2FED70" w14:textId="77777777" w:rsidR="00D4428E" w:rsidRPr="00ED0E0F" w:rsidRDefault="00D4428E" w:rsidP="003E4D50">
            <w:pPr>
              <w:rPr>
                <w:rFonts w:eastAsia="Times New Roman"/>
                <w:b/>
                <w:color w:val="000000"/>
              </w:rPr>
            </w:pPr>
          </w:p>
          <w:p w14:paraId="65B4B6A7" w14:textId="77777777" w:rsidR="00D4428E" w:rsidRPr="00ED0E0F" w:rsidRDefault="00D4428E" w:rsidP="003E4D50">
            <w:pPr>
              <w:rPr>
                <w:rFonts w:eastAsia="Times New Roman"/>
                <w:b/>
                <w:color w:val="000000"/>
              </w:rPr>
            </w:pPr>
          </w:p>
          <w:p w14:paraId="60D0241F" w14:textId="77777777" w:rsidR="00D4428E" w:rsidRPr="00ED0E0F" w:rsidRDefault="00D4428E" w:rsidP="003E4D50">
            <w:pPr>
              <w:rPr>
                <w:rFonts w:eastAsia="Times New Roman"/>
                <w:b/>
                <w:color w:val="000000"/>
              </w:rPr>
            </w:pPr>
          </w:p>
          <w:p w14:paraId="2C0691FA" w14:textId="77777777" w:rsidR="00D4428E" w:rsidRPr="00ED0E0F" w:rsidRDefault="00D4428E" w:rsidP="003E4D50">
            <w:pPr>
              <w:rPr>
                <w:rFonts w:eastAsia="Times New Roman"/>
                <w:b/>
                <w:color w:val="000000"/>
              </w:rPr>
            </w:pPr>
          </w:p>
          <w:p w14:paraId="131B000F" w14:textId="77777777" w:rsidR="00D4428E" w:rsidRPr="00ED0E0F" w:rsidRDefault="00D4428E" w:rsidP="003E4D50">
            <w:pPr>
              <w:rPr>
                <w:rFonts w:eastAsia="Times New Roman"/>
                <w:b/>
                <w:color w:val="000000"/>
              </w:rPr>
            </w:pPr>
          </w:p>
          <w:p w14:paraId="0DDE09EE" w14:textId="77777777" w:rsidR="00D4428E" w:rsidRPr="00ED0E0F" w:rsidRDefault="00D4428E" w:rsidP="003E4D50">
            <w:pPr>
              <w:rPr>
                <w:rFonts w:eastAsia="Times New Roman"/>
                <w:b/>
                <w:color w:val="000000"/>
              </w:rPr>
            </w:pPr>
            <w:r w:rsidRPr="00ED0E0F">
              <w:rPr>
                <w:rFonts w:eastAsia="Times New Roman"/>
                <w:b/>
                <w:color w:val="000000"/>
              </w:rPr>
              <w:t xml:space="preserve">Table 7: Income of Origins  </w:t>
            </w:r>
          </w:p>
          <w:p w14:paraId="1A2FB812" w14:textId="77777777" w:rsidR="00D4428E" w:rsidRPr="00ED0E0F" w:rsidRDefault="00D4428E" w:rsidP="003E4D50">
            <w:pPr>
              <w:rPr>
                <w:rFonts w:eastAsia="Times New Roman"/>
                <w:color w:val="000000"/>
              </w:rPr>
            </w:pPr>
            <w:r w:rsidRPr="00ED0E0F">
              <w:rPr>
                <w:rFonts w:eastAsia="Times New Roman"/>
                <w:color w:val="000000"/>
              </w:rPr>
              <w:t>Income Origin</w:t>
            </w:r>
          </w:p>
        </w:tc>
        <w:tc>
          <w:tcPr>
            <w:tcW w:w="1300" w:type="dxa"/>
            <w:tcBorders>
              <w:top w:val="nil"/>
              <w:left w:val="nil"/>
              <w:bottom w:val="nil"/>
              <w:right w:val="nil"/>
            </w:tcBorders>
            <w:shd w:val="clear" w:color="auto" w:fill="auto"/>
            <w:noWrap/>
            <w:vAlign w:val="bottom"/>
            <w:hideMark/>
          </w:tcPr>
          <w:p w14:paraId="33B53E64" w14:textId="77777777" w:rsidR="00D4428E" w:rsidRPr="00ED0E0F" w:rsidRDefault="00D4428E" w:rsidP="003E4D50">
            <w:pPr>
              <w:rPr>
                <w:rFonts w:eastAsia="Times New Roman"/>
                <w:color w:val="000000"/>
              </w:rPr>
            </w:pPr>
          </w:p>
          <w:p w14:paraId="4B27507A" w14:textId="77777777" w:rsidR="00D4428E" w:rsidRPr="00ED0E0F" w:rsidRDefault="00D4428E" w:rsidP="003E4D50">
            <w:pPr>
              <w:rPr>
                <w:rFonts w:eastAsia="Times New Roman"/>
                <w:color w:val="000000"/>
              </w:rPr>
            </w:pPr>
          </w:p>
          <w:p w14:paraId="3E474378" w14:textId="77777777" w:rsidR="00D4428E" w:rsidRPr="00ED0E0F" w:rsidRDefault="00D4428E" w:rsidP="003E4D50">
            <w:pPr>
              <w:rPr>
                <w:rFonts w:eastAsia="Times New Roman"/>
                <w:color w:val="000000"/>
              </w:rPr>
            </w:pPr>
          </w:p>
          <w:p w14:paraId="4EF422B1" w14:textId="77777777" w:rsidR="00D4428E" w:rsidRPr="00ED0E0F" w:rsidRDefault="00D4428E" w:rsidP="003E4D50">
            <w:pPr>
              <w:rPr>
                <w:rFonts w:eastAsia="Times New Roman"/>
                <w:color w:val="000000"/>
              </w:rPr>
            </w:pPr>
          </w:p>
          <w:p w14:paraId="06E3C0D0" w14:textId="77777777" w:rsidR="00D4428E" w:rsidRPr="00ED0E0F" w:rsidRDefault="00D4428E" w:rsidP="003E4D50">
            <w:pPr>
              <w:rPr>
                <w:rFonts w:eastAsia="Times New Roman"/>
                <w:color w:val="000000"/>
              </w:rPr>
            </w:pPr>
          </w:p>
          <w:p w14:paraId="6A689D3D" w14:textId="77777777" w:rsidR="00D4428E" w:rsidRPr="00ED0E0F" w:rsidRDefault="00D4428E" w:rsidP="003E4D50">
            <w:pPr>
              <w:rPr>
                <w:rFonts w:eastAsia="Times New Roman"/>
                <w:color w:val="000000"/>
              </w:rPr>
            </w:pPr>
          </w:p>
          <w:p w14:paraId="4A651768" w14:textId="77777777" w:rsidR="00D4428E" w:rsidRPr="00ED0E0F" w:rsidRDefault="00D4428E" w:rsidP="003E4D50">
            <w:pPr>
              <w:rPr>
                <w:rFonts w:eastAsia="Times New Roman"/>
                <w:color w:val="000000"/>
              </w:rPr>
            </w:pPr>
          </w:p>
          <w:p w14:paraId="233FE05A" w14:textId="77777777" w:rsidR="00D4428E" w:rsidRPr="00ED0E0F" w:rsidRDefault="00D4428E" w:rsidP="003E4D50">
            <w:pPr>
              <w:rPr>
                <w:rFonts w:eastAsia="Times New Roman"/>
                <w:color w:val="000000"/>
              </w:rPr>
            </w:pPr>
          </w:p>
          <w:p w14:paraId="648EA1ED" w14:textId="77777777" w:rsidR="00D4428E" w:rsidRPr="00ED0E0F" w:rsidRDefault="00D4428E" w:rsidP="003E4D50">
            <w:pPr>
              <w:rPr>
                <w:rFonts w:eastAsia="Times New Roman"/>
                <w:color w:val="000000"/>
              </w:rPr>
            </w:pPr>
          </w:p>
          <w:p w14:paraId="4EE6FB01" w14:textId="77777777" w:rsidR="00D4428E" w:rsidRPr="00ED0E0F" w:rsidRDefault="00D4428E" w:rsidP="003E4D50">
            <w:pPr>
              <w:rPr>
                <w:rFonts w:eastAsia="Times New Roman"/>
                <w:color w:val="000000"/>
              </w:rPr>
            </w:pPr>
          </w:p>
          <w:p w14:paraId="0E384383" w14:textId="77777777" w:rsidR="00D4428E" w:rsidRPr="00ED0E0F" w:rsidRDefault="00D4428E" w:rsidP="003E4D50">
            <w:pPr>
              <w:rPr>
                <w:rFonts w:eastAsia="Times New Roman"/>
                <w:color w:val="000000"/>
              </w:rPr>
            </w:pPr>
          </w:p>
          <w:p w14:paraId="1F82AC84" w14:textId="77777777" w:rsidR="00D4428E" w:rsidRPr="00ED0E0F" w:rsidRDefault="00D4428E" w:rsidP="003E4D50">
            <w:pPr>
              <w:rPr>
                <w:rFonts w:eastAsia="Times New Roman"/>
                <w:color w:val="000000"/>
              </w:rPr>
            </w:pPr>
          </w:p>
          <w:p w14:paraId="73211912" w14:textId="77777777" w:rsidR="00D4428E" w:rsidRPr="00ED0E0F" w:rsidRDefault="00D4428E" w:rsidP="003E4D50">
            <w:pPr>
              <w:rPr>
                <w:rFonts w:eastAsia="Times New Roman"/>
                <w:color w:val="000000"/>
              </w:rPr>
            </w:pPr>
          </w:p>
          <w:p w14:paraId="57CBAE90" w14:textId="77777777" w:rsidR="00D4428E" w:rsidRPr="00ED0E0F" w:rsidRDefault="00D4428E" w:rsidP="003E4D50">
            <w:pPr>
              <w:rPr>
                <w:rFonts w:eastAsia="Times New Roman"/>
                <w:color w:val="000000"/>
              </w:rPr>
            </w:pPr>
          </w:p>
          <w:p w14:paraId="3BF4C139" w14:textId="77777777" w:rsidR="00D4428E" w:rsidRPr="00ED0E0F" w:rsidRDefault="00D4428E" w:rsidP="003E4D50">
            <w:pPr>
              <w:rPr>
                <w:rFonts w:eastAsia="Times New Roman"/>
                <w:color w:val="000000"/>
              </w:rPr>
            </w:pPr>
          </w:p>
          <w:p w14:paraId="37A58BAA" w14:textId="77777777" w:rsidR="00D4428E" w:rsidRPr="00ED0E0F" w:rsidRDefault="00D4428E" w:rsidP="003E4D50">
            <w:pPr>
              <w:rPr>
                <w:rFonts w:eastAsia="Times New Roman"/>
                <w:color w:val="000000"/>
              </w:rPr>
            </w:pPr>
          </w:p>
          <w:p w14:paraId="64EBB812" w14:textId="77777777" w:rsidR="00D4428E" w:rsidRPr="00ED0E0F" w:rsidRDefault="00D4428E" w:rsidP="003E4D50">
            <w:pPr>
              <w:rPr>
                <w:rFonts w:eastAsia="Times New Roman"/>
                <w:color w:val="000000"/>
              </w:rPr>
            </w:pPr>
          </w:p>
          <w:p w14:paraId="42017709" w14:textId="77777777" w:rsidR="00D4428E" w:rsidRPr="00ED0E0F" w:rsidRDefault="00D4428E" w:rsidP="003E4D50">
            <w:pPr>
              <w:rPr>
                <w:rFonts w:eastAsia="Times New Roman"/>
                <w:color w:val="000000"/>
              </w:rPr>
            </w:pPr>
          </w:p>
          <w:p w14:paraId="4D406EB5" w14:textId="77777777" w:rsidR="00D4428E" w:rsidRPr="00ED0E0F" w:rsidRDefault="00D4428E" w:rsidP="003E4D50">
            <w:pPr>
              <w:rPr>
                <w:rFonts w:eastAsia="Times New Roman"/>
                <w:color w:val="000000"/>
              </w:rPr>
            </w:pPr>
          </w:p>
          <w:p w14:paraId="3BE3F8CF" w14:textId="77777777" w:rsidR="00D4428E" w:rsidRPr="00ED0E0F" w:rsidRDefault="00D4428E" w:rsidP="003E4D50">
            <w:pPr>
              <w:rPr>
                <w:rFonts w:eastAsia="Times New Roman"/>
                <w:color w:val="000000"/>
              </w:rPr>
            </w:pPr>
          </w:p>
          <w:p w14:paraId="33CCFBFC" w14:textId="77777777" w:rsidR="00D4428E" w:rsidRPr="00ED0E0F" w:rsidRDefault="00D4428E" w:rsidP="003E4D50">
            <w:pPr>
              <w:rPr>
                <w:rFonts w:eastAsia="Times New Roman"/>
                <w:color w:val="000000"/>
              </w:rPr>
            </w:pPr>
          </w:p>
          <w:p w14:paraId="59EBC3C5" w14:textId="77777777" w:rsidR="00D4428E" w:rsidRPr="00ED0E0F" w:rsidRDefault="00D4428E" w:rsidP="003E4D50">
            <w:pPr>
              <w:rPr>
                <w:rFonts w:eastAsia="Times New Roman"/>
                <w:color w:val="000000"/>
              </w:rPr>
            </w:pPr>
          </w:p>
          <w:p w14:paraId="44C23282" w14:textId="77777777" w:rsidR="00D4428E" w:rsidRPr="00ED0E0F" w:rsidRDefault="00D4428E" w:rsidP="003E4D50">
            <w:pPr>
              <w:rPr>
                <w:rFonts w:eastAsia="Times New Roman"/>
                <w:color w:val="000000"/>
              </w:rPr>
            </w:pPr>
          </w:p>
          <w:p w14:paraId="69188C2D" w14:textId="77777777" w:rsidR="00D4428E" w:rsidRPr="00ED0E0F" w:rsidRDefault="00D4428E" w:rsidP="003E4D50">
            <w:pPr>
              <w:rPr>
                <w:rFonts w:eastAsia="Times New Roman"/>
                <w:color w:val="000000"/>
              </w:rPr>
            </w:pPr>
          </w:p>
          <w:p w14:paraId="6DC68A37" w14:textId="77777777" w:rsidR="00D4428E" w:rsidRPr="00ED0E0F" w:rsidRDefault="00D4428E" w:rsidP="003E4D50">
            <w:pPr>
              <w:rPr>
                <w:rFonts w:eastAsia="Times New Roman"/>
                <w:color w:val="000000"/>
              </w:rPr>
            </w:pPr>
          </w:p>
          <w:p w14:paraId="74B14116" w14:textId="77777777" w:rsidR="00D4428E" w:rsidRPr="00ED0E0F" w:rsidRDefault="00D4428E" w:rsidP="003E4D50">
            <w:pPr>
              <w:rPr>
                <w:rFonts w:eastAsia="Times New Roman"/>
                <w:color w:val="000000"/>
              </w:rPr>
            </w:pPr>
          </w:p>
          <w:p w14:paraId="4F1AD26A" w14:textId="77777777" w:rsidR="00D4428E" w:rsidRPr="00ED0E0F" w:rsidRDefault="00D4428E" w:rsidP="003E4D50">
            <w:pPr>
              <w:rPr>
                <w:rFonts w:eastAsia="Times New Roman"/>
                <w:color w:val="000000"/>
              </w:rPr>
            </w:pPr>
          </w:p>
          <w:p w14:paraId="53071C3A" w14:textId="77777777" w:rsidR="00D4428E" w:rsidRPr="00ED0E0F" w:rsidRDefault="00D4428E" w:rsidP="003E4D50">
            <w:pPr>
              <w:rPr>
                <w:rFonts w:eastAsia="Times New Roman"/>
                <w:color w:val="000000"/>
              </w:rPr>
            </w:pPr>
          </w:p>
          <w:p w14:paraId="52D2B03D" w14:textId="77777777" w:rsidR="00D4428E" w:rsidRPr="00ED0E0F" w:rsidRDefault="00D4428E" w:rsidP="003E4D50">
            <w:pPr>
              <w:rPr>
                <w:rFonts w:eastAsia="Times New Roman"/>
                <w:color w:val="000000"/>
              </w:rPr>
            </w:pPr>
          </w:p>
          <w:p w14:paraId="77C005D3" w14:textId="77777777" w:rsidR="00D4428E" w:rsidRPr="00ED0E0F" w:rsidRDefault="00D4428E" w:rsidP="003E4D50">
            <w:pPr>
              <w:rPr>
                <w:rFonts w:eastAsia="Times New Roman"/>
                <w:color w:val="000000"/>
              </w:rPr>
            </w:pPr>
          </w:p>
          <w:p w14:paraId="1CAC5E8C" w14:textId="77777777" w:rsidR="00D4428E" w:rsidRPr="00ED0E0F" w:rsidRDefault="00D4428E" w:rsidP="003E4D50">
            <w:pPr>
              <w:rPr>
                <w:rFonts w:eastAsia="Times New Roman"/>
                <w:color w:val="000000"/>
              </w:rPr>
            </w:pPr>
          </w:p>
          <w:p w14:paraId="1BB3F41B" w14:textId="77777777" w:rsidR="00D4428E" w:rsidRPr="00ED0E0F" w:rsidRDefault="00D4428E" w:rsidP="003E4D50">
            <w:pPr>
              <w:rPr>
                <w:rFonts w:eastAsia="Times New Roman"/>
                <w:color w:val="000000"/>
              </w:rPr>
            </w:pPr>
          </w:p>
          <w:p w14:paraId="61A88214" w14:textId="77777777" w:rsidR="00D4428E" w:rsidRPr="00ED0E0F" w:rsidRDefault="00D4428E" w:rsidP="003E4D50">
            <w:pPr>
              <w:rPr>
                <w:rFonts w:eastAsia="Times New Roman"/>
                <w:color w:val="000000"/>
              </w:rPr>
            </w:pPr>
          </w:p>
          <w:p w14:paraId="1893240B" w14:textId="77777777" w:rsidR="00D4428E" w:rsidRPr="00ED0E0F" w:rsidRDefault="00D4428E" w:rsidP="003E4D50">
            <w:pPr>
              <w:rPr>
                <w:rFonts w:eastAsia="Times New Roman"/>
                <w:color w:val="000000"/>
              </w:rPr>
            </w:pPr>
          </w:p>
          <w:p w14:paraId="5FDA6740" w14:textId="77777777" w:rsidR="00D4428E" w:rsidRPr="00ED0E0F" w:rsidRDefault="00D4428E" w:rsidP="003E4D50">
            <w:pPr>
              <w:rPr>
                <w:rFonts w:eastAsia="Times New Roman"/>
                <w:color w:val="000000"/>
              </w:rPr>
            </w:pPr>
          </w:p>
          <w:p w14:paraId="58B7F75D" w14:textId="77777777" w:rsidR="00D4428E" w:rsidRPr="00ED0E0F" w:rsidRDefault="00D4428E" w:rsidP="003E4D50">
            <w:pPr>
              <w:rPr>
                <w:rFonts w:eastAsia="Times New Roman"/>
                <w:color w:val="000000"/>
              </w:rPr>
            </w:pPr>
          </w:p>
          <w:p w14:paraId="249980F4" w14:textId="77777777" w:rsidR="00D4428E" w:rsidRPr="00ED0E0F" w:rsidRDefault="00D4428E" w:rsidP="003E4D50">
            <w:pPr>
              <w:rPr>
                <w:rFonts w:eastAsia="Times New Roman"/>
                <w:color w:val="000000"/>
              </w:rPr>
            </w:pPr>
          </w:p>
          <w:p w14:paraId="2FF4E623" w14:textId="77777777" w:rsidR="00D4428E" w:rsidRPr="00ED0E0F" w:rsidRDefault="00D4428E" w:rsidP="003E4D50">
            <w:pPr>
              <w:rPr>
                <w:rFonts w:eastAsia="Times New Roman"/>
                <w:color w:val="000000"/>
              </w:rPr>
            </w:pPr>
          </w:p>
          <w:p w14:paraId="612D89DB" w14:textId="77777777" w:rsidR="00D4428E" w:rsidRPr="00ED0E0F" w:rsidRDefault="00D4428E" w:rsidP="003E4D50">
            <w:pPr>
              <w:rPr>
                <w:rFonts w:eastAsia="Times New Roman"/>
                <w:color w:val="000000"/>
              </w:rPr>
            </w:pPr>
          </w:p>
          <w:p w14:paraId="2B0E78CB" w14:textId="77777777" w:rsidR="00D4428E" w:rsidRPr="00ED0E0F" w:rsidRDefault="00D4428E" w:rsidP="003E4D50">
            <w:pPr>
              <w:rPr>
                <w:rFonts w:eastAsia="Times New Roman"/>
                <w:color w:val="000000"/>
              </w:rPr>
            </w:pPr>
          </w:p>
          <w:p w14:paraId="653CBC3D" w14:textId="77777777" w:rsidR="00D4428E" w:rsidRPr="00ED0E0F" w:rsidRDefault="00D4428E" w:rsidP="003E4D50">
            <w:pPr>
              <w:rPr>
                <w:rFonts w:eastAsia="Times New Roman"/>
                <w:color w:val="000000"/>
              </w:rPr>
            </w:pPr>
            <w:proofErr w:type="gramStart"/>
            <w:r w:rsidRPr="00ED0E0F">
              <w:rPr>
                <w:rFonts w:eastAsia="Times New Roman"/>
                <w:color w:val="000000"/>
              </w:rPr>
              <w:t>year</w:t>
            </w:r>
            <w:proofErr w:type="gramEnd"/>
            <w:r w:rsidRPr="00ED0E0F">
              <w:rPr>
                <w:rFonts w:eastAsia="Times New Roman"/>
                <w:color w:val="000000"/>
              </w:rPr>
              <w:t>: 2000</w:t>
            </w:r>
          </w:p>
        </w:tc>
        <w:tc>
          <w:tcPr>
            <w:tcW w:w="1300" w:type="dxa"/>
            <w:tcBorders>
              <w:top w:val="nil"/>
              <w:left w:val="nil"/>
              <w:bottom w:val="nil"/>
              <w:right w:val="nil"/>
            </w:tcBorders>
            <w:shd w:val="clear" w:color="auto" w:fill="auto"/>
            <w:noWrap/>
            <w:vAlign w:val="bottom"/>
            <w:hideMark/>
          </w:tcPr>
          <w:p w14:paraId="660E6EB6" w14:textId="77777777" w:rsidR="00D4428E" w:rsidRPr="00ED0E0F" w:rsidRDefault="00D4428E" w:rsidP="003E4D50">
            <w:pPr>
              <w:rPr>
                <w:rFonts w:eastAsia="Times New Roman"/>
                <w:color w:val="000000"/>
              </w:rPr>
            </w:pPr>
          </w:p>
          <w:p w14:paraId="52BA344D" w14:textId="77777777" w:rsidR="00D4428E" w:rsidRPr="00ED0E0F" w:rsidRDefault="00D4428E" w:rsidP="003E4D50">
            <w:pPr>
              <w:rPr>
                <w:rFonts w:eastAsia="Times New Roman"/>
                <w:color w:val="000000"/>
              </w:rPr>
            </w:pPr>
          </w:p>
          <w:p w14:paraId="4C75554C" w14:textId="77777777" w:rsidR="00D4428E" w:rsidRPr="00ED0E0F" w:rsidRDefault="00D4428E" w:rsidP="003E4D50">
            <w:pPr>
              <w:rPr>
                <w:rFonts w:eastAsia="Times New Roman"/>
                <w:color w:val="000000"/>
              </w:rPr>
            </w:pPr>
          </w:p>
          <w:p w14:paraId="4C5630F5" w14:textId="77777777" w:rsidR="00D4428E" w:rsidRPr="00ED0E0F" w:rsidRDefault="00D4428E" w:rsidP="003E4D50">
            <w:pPr>
              <w:rPr>
                <w:rFonts w:eastAsia="Times New Roman"/>
                <w:color w:val="000000"/>
              </w:rPr>
            </w:pPr>
          </w:p>
          <w:p w14:paraId="21A0F382" w14:textId="77777777" w:rsidR="00D4428E" w:rsidRPr="00ED0E0F" w:rsidRDefault="00D4428E" w:rsidP="003E4D50">
            <w:pPr>
              <w:rPr>
                <w:rFonts w:eastAsia="Times New Roman"/>
                <w:color w:val="000000"/>
              </w:rPr>
            </w:pPr>
          </w:p>
          <w:p w14:paraId="36AA8729" w14:textId="77777777" w:rsidR="00D4428E" w:rsidRPr="00ED0E0F" w:rsidRDefault="00D4428E" w:rsidP="003E4D50">
            <w:pPr>
              <w:rPr>
                <w:rFonts w:eastAsia="Times New Roman"/>
                <w:color w:val="000000"/>
              </w:rPr>
            </w:pPr>
          </w:p>
          <w:p w14:paraId="47100DEE" w14:textId="77777777" w:rsidR="00D4428E" w:rsidRPr="00ED0E0F" w:rsidRDefault="00D4428E" w:rsidP="003E4D50">
            <w:pPr>
              <w:rPr>
                <w:rFonts w:eastAsia="Times New Roman"/>
                <w:color w:val="000000"/>
              </w:rPr>
            </w:pPr>
          </w:p>
          <w:p w14:paraId="4DF33BBA" w14:textId="77777777" w:rsidR="00D4428E" w:rsidRPr="00ED0E0F" w:rsidRDefault="00D4428E" w:rsidP="003E4D50">
            <w:pPr>
              <w:rPr>
                <w:rFonts w:eastAsia="Times New Roman"/>
                <w:color w:val="000000"/>
              </w:rPr>
            </w:pPr>
          </w:p>
          <w:p w14:paraId="0747275D" w14:textId="77777777" w:rsidR="00D4428E" w:rsidRPr="00ED0E0F" w:rsidRDefault="00D4428E" w:rsidP="003E4D50">
            <w:pPr>
              <w:rPr>
                <w:rFonts w:eastAsia="Times New Roman"/>
                <w:color w:val="000000"/>
              </w:rPr>
            </w:pPr>
          </w:p>
          <w:p w14:paraId="4FBDD7A0" w14:textId="77777777" w:rsidR="00D4428E" w:rsidRPr="00ED0E0F" w:rsidRDefault="00D4428E" w:rsidP="003E4D50">
            <w:pPr>
              <w:rPr>
                <w:rFonts w:eastAsia="Times New Roman"/>
                <w:color w:val="000000"/>
              </w:rPr>
            </w:pPr>
          </w:p>
          <w:p w14:paraId="410601D9" w14:textId="77777777" w:rsidR="00D4428E" w:rsidRPr="00ED0E0F" w:rsidRDefault="00D4428E" w:rsidP="003E4D50">
            <w:pPr>
              <w:rPr>
                <w:rFonts w:eastAsia="Times New Roman"/>
                <w:color w:val="000000"/>
              </w:rPr>
            </w:pPr>
          </w:p>
          <w:p w14:paraId="1E81AAD1" w14:textId="77777777" w:rsidR="00D4428E" w:rsidRPr="00ED0E0F" w:rsidRDefault="00D4428E" w:rsidP="003E4D50">
            <w:pPr>
              <w:rPr>
                <w:rFonts w:eastAsia="Times New Roman"/>
                <w:color w:val="000000"/>
              </w:rPr>
            </w:pPr>
          </w:p>
          <w:p w14:paraId="6F82C441" w14:textId="77777777" w:rsidR="00D4428E" w:rsidRPr="00ED0E0F" w:rsidRDefault="00D4428E" w:rsidP="003E4D50">
            <w:pPr>
              <w:rPr>
                <w:rFonts w:eastAsia="Times New Roman"/>
                <w:color w:val="000000"/>
              </w:rPr>
            </w:pPr>
          </w:p>
          <w:p w14:paraId="06AFD186" w14:textId="77777777" w:rsidR="00D4428E" w:rsidRPr="00ED0E0F" w:rsidRDefault="00D4428E" w:rsidP="003E4D50">
            <w:pPr>
              <w:rPr>
                <w:rFonts w:eastAsia="Times New Roman"/>
                <w:color w:val="000000"/>
              </w:rPr>
            </w:pPr>
          </w:p>
          <w:p w14:paraId="2205C857" w14:textId="77777777" w:rsidR="00D4428E" w:rsidRPr="00ED0E0F" w:rsidRDefault="00D4428E" w:rsidP="003E4D50">
            <w:pPr>
              <w:rPr>
                <w:rFonts w:eastAsia="Times New Roman"/>
                <w:color w:val="000000"/>
              </w:rPr>
            </w:pPr>
          </w:p>
          <w:p w14:paraId="52E37018" w14:textId="77777777" w:rsidR="00D4428E" w:rsidRPr="00ED0E0F" w:rsidRDefault="00D4428E" w:rsidP="003E4D50">
            <w:pPr>
              <w:rPr>
                <w:rFonts w:eastAsia="Times New Roman"/>
                <w:color w:val="000000"/>
              </w:rPr>
            </w:pPr>
          </w:p>
          <w:p w14:paraId="7A503549" w14:textId="77777777" w:rsidR="00D4428E" w:rsidRPr="00ED0E0F" w:rsidRDefault="00D4428E" w:rsidP="003E4D50">
            <w:pPr>
              <w:rPr>
                <w:rFonts w:eastAsia="Times New Roman"/>
                <w:color w:val="000000"/>
              </w:rPr>
            </w:pPr>
          </w:p>
          <w:p w14:paraId="72193949" w14:textId="77777777" w:rsidR="00D4428E" w:rsidRPr="00ED0E0F" w:rsidRDefault="00D4428E" w:rsidP="003E4D50">
            <w:pPr>
              <w:rPr>
                <w:rFonts w:eastAsia="Times New Roman"/>
                <w:color w:val="000000"/>
              </w:rPr>
            </w:pPr>
          </w:p>
          <w:p w14:paraId="4CB7AAD1" w14:textId="77777777" w:rsidR="00D4428E" w:rsidRPr="00ED0E0F" w:rsidRDefault="00D4428E" w:rsidP="003E4D50">
            <w:pPr>
              <w:rPr>
                <w:rFonts w:eastAsia="Times New Roman"/>
                <w:color w:val="000000"/>
              </w:rPr>
            </w:pPr>
          </w:p>
          <w:p w14:paraId="3D20F329" w14:textId="77777777" w:rsidR="00D4428E" w:rsidRPr="00ED0E0F" w:rsidRDefault="00D4428E" w:rsidP="003E4D50">
            <w:pPr>
              <w:rPr>
                <w:rFonts w:eastAsia="Times New Roman"/>
                <w:color w:val="000000"/>
              </w:rPr>
            </w:pPr>
          </w:p>
          <w:p w14:paraId="341D4091" w14:textId="77777777" w:rsidR="00D4428E" w:rsidRPr="00ED0E0F" w:rsidRDefault="00D4428E" w:rsidP="003E4D50">
            <w:pPr>
              <w:rPr>
                <w:rFonts w:eastAsia="Times New Roman"/>
                <w:color w:val="000000"/>
              </w:rPr>
            </w:pPr>
          </w:p>
          <w:p w14:paraId="6142B7E4" w14:textId="77777777" w:rsidR="00D4428E" w:rsidRPr="00ED0E0F" w:rsidRDefault="00D4428E" w:rsidP="003E4D50">
            <w:pPr>
              <w:rPr>
                <w:rFonts w:eastAsia="Times New Roman"/>
                <w:color w:val="000000"/>
              </w:rPr>
            </w:pPr>
          </w:p>
          <w:p w14:paraId="57958F07" w14:textId="77777777" w:rsidR="00D4428E" w:rsidRPr="00ED0E0F" w:rsidRDefault="00D4428E" w:rsidP="003E4D50">
            <w:pPr>
              <w:rPr>
                <w:rFonts w:eastAsia="Times New Roman"/>
                <w:color w:val="000000"/>
              </w:rPr>
            </w:pPr>
          </w:p>
          <w:p w14:paraId="1F9CDA49" w14:textId="77777777" w:rsidR="00D4428E" w:rsidRPr="00ED0E0F" w:rsidRDefault="00D4428E" w:rsidP="003E4D50">
            <w:pPr>
              <w:rPr>
                <w:rFonts w:eastAsia="Times New Roman"/>
                <w:color w:val="000000"/>
              </w:rPr>
            </w:pPr>
          </w:p>
          <w:p w14:paraId="5F6ED4B8" w14:textId="77777777" w:rsidR="00D4428E" w:rsidRPr="00ED0E0F" w:rsidRDefault="00D4428E" w:rsidP="003E4D50">
            <w:pPr>
              <w:rPr>
                <w:rFonts w:eastAsia="Times New Roman"/>
                <w:color w:val="000000"/>
              </w:rPr>
            </w:pPr>
          </w:p>
          <w:p w14:paraId="39E38B82" w14:textId="77777777" w:rsidR="00D4428E" w:rsidRPr="00ED0E0F" w:rsidRDefault="00D4428E" w:rsidP="003E4D50">
            <w:pPr>
              <w:rPr>
                <w:rFonts w:eastAsia="Times New Roman"/>
                <w:color w:val="000000"/>
              </w:rPr>
            </w:pPr>
          </w:p>
          <w:p w14:paraId="696BCCF2" w14:textId="77777777" w:rsidR="00D4428E" w:rsidRPr="00ED0E0F" w:rsidRDefault="00D4428E" w:rsidP="003E4D50">
            <w:pPr>
              <w:rPr>
                <w:rFonts w:eastAsia="Times New Roman"/>
                <w:color w:val="000000"/>
              </w:rPr>
            </w:pPr>
          </w:p>
          <w:p w14:paraId="67A24E22" w14:textId="77777777" w:rsidR="00D4428E" w:rsidRPr="00ED0E0F" w:rsidRDefault="00D4428E" w:rsidP="003E4D50">
            <w:pPr>
              <w:rPr>
                <w:rFonts w:eastAsia="Times New Roman"/>
                <w:color w:val="000000"/>
              </w:rPr>
            </w:pPr>
          </w:p>
          <w:p w14:paraId="589C4F9B" w14:textId="77777777" w:rsidR="00D4428E" w:rsidRPr="00ED0E0F" w:rsidRDefault="00D4428E" w:rsidP="003E4D50">
            <w:pPr>
              <w:rPr>
                <w:rFonts w:eastAsia="Times New Roman"/>
                <w:color w:val="000000"/>
              </w:rPr>
            </w:pPr>
          </w:p>
          <w:p w14:paraId="7FA6E4AA" w14:textId="77777777" w:rsidR="00D4428E" w:rsidRPr="00ED0E0F" w:rsidRDefault="00D4428E" w:rsidP="003E4D50">
            <w:pPr>
              <w:rPr>
                <w:rFonts w:eastAsia="Times New Roman"/>
                <w:color w:val="000000"/>
              </w:rPr>
            </w:pPr>
          </w:p>
          <w:p w14:paraId="409F5B86" w14:textId="77777777" w:rsidR="00D4428E" w:rsidRPr="00ED0E0F" w:rsidRDefault="00D4428E" w:rsidP="003E4D50">
            <w:pPr>
              <w:rPr>
                <w:rFonts w:eastAsia="Times New Roman"/>
                <w:color w:val="000000"/>
              </w:rPr>
            </w:pPr>
          </w:p>
          <w:p w14:paraId="3C86F0A2" w14:textId="77777777" w:rsidR="00D4428E" w:rsidRPr="00ED0E0F" w:rsidRDefault="00D4428E" w:rsidP="003E4D50">
            <w:pPr>
              <w:rPr>
                <w:rFonts w:eastAsia="Times New Roman"/>
                <w:color w:val="000000"/>
              </w:rPr>
            </w:pPr>
          </w:p>
          <w:p w14:paraId="1FCA3F3C" w14:textId="77777777" w:rsidR="00D4428E" w:rsidRPr="00ED0E0F" w:rsidRDefault="00D4428E" w:rsidP="003E4D50">
            <w:pPr>
              <w:rPr>
                <w:rFonts w:eastAsia="Times New Roman"/>
                <w:color w:val="000000"/>
              </w:rPr>
            </w:pPr>
          </w:p>
          <w:p w14:paraId="2CE8A61B" w14:textId="77777777" w:rsidR="00D4428E" w:rsidRPr="00ED0E0F" w:rsidRDefault="00D4428E" w:rsidP="003E4D50">
            <w:pPr>
              <w:rPr>
                <w:rFonts w:eastAsia="Times New Roman"/>
                <w:color w:val="000000"/>
              </w:rPr>
            </w:pPr>
          </w:p>
          <w:p w14:paraId="74393452" w14:textId="77777777" w:rsidR="00D4428E" w:rsidRPr="00ED0E0F" w:rsidRDefault="00D4428E" w:rsidP="003E4D50">
            <w:pPr>
              <w:rPr>
                <w:rFonts w:eastAsia="Times New Roman"/>
                <w:color w:val="000000"/>
              </w:rPr>
            </w:pPr>
          </w:p>
          <w:p w14:paraId="519917D0" w14:textId="77777777" w:rsidR="00D4428E" w:rsidRPr="00ED0E0F" w:rsidRDefault="00D4428E" w:rsidP="003E4D50">
            <w:pPr>
              <w:rPr>
                <w:rFonts w:eastAsia="Times New Roman"/>
                <w:color w:val="000000"/>
              </w:rPr>
            </w:pPr>
          </w:p>
          <w:p w14:paraId="7933614C" w14:textId="77777777" w:rsidR="00D4428E" w:rsidRPr="00ED0E0F" w:rsidRDefault="00D4428E" w:rsidP="003E4D50">
            <w:pPr>
              <w:rPr>
                <w:rFonts w:eastAsia="Times New Roman"/>
                <w:color w:val="000000"/>
              </w:rPr>
            </w:pPr>
          </w:p>
          <w:p w14:paraId="43289F8A" w14:textId="77777777" w:rsidR="00D4428E" w:rsidRPr="00ED0E0F" w:rsidRDefault="00D4428E" w:rsidP="003E4D50">
            <w:pPr>
              <w:rPr>
                <w:rFonts w:eastAsia="Times New Roman"/>
                <w:color w:val="000000"/>
              </w:rPr>
            </w:pPr>
          </w:p>
          <w:p w14:paraId="087D3F96" w14:textId="77777777" w:rsidR="00D4428E" w:rsidRPr="00ED0E0F" w:rsidRDefault="00D4428E" w:rsidP="003E4D50">
            <w:pPr>
              <w:rPr>
                <w:rFonts w:eastAsia="Times New Roman"/>
                <w:color w:val="000000"/>
              </w:rPr>
            </w:pPr>
          </w:p>
          <w:p w14:paraId="47FD17C9" w14:textId="77777777" w:rsidR="00D4428E" w:rsidRPr="00ED0E0F" w:rsidRDefault="00D4428E" w:rsidP="003E4D50">
            <w:pPr>
              <w:rPr>
                <w:rFonts w:eastAsia="Times New Roman"/>
                <w:color w:val="000000"/>
              </w:rPr>
            </w:pPr>
          </w:p>
          <w:p w14:paraId="53865FFF" w14:textId="77777777" w:rsidR="00D4428E" w:rsidRPr="00ED0E0F" w:rsidRDefault="00D4428E" w:rsidP="003E4D50">
            <w:pPr>
              <w:rPr>
                <w:rFonts w:eastAsia="Times New Roman"/>
                <w:color w:val="000000"/>
              </w:rPr>
            </w:pPr>
            <w:proofErr w:type="gramStart"/>
            <w:r w:rsidRPr="00ED0E0F">
              <w:rPr>
                <w:rFonts w:eastAsia="Times New Roman"/>
                <w:color w:val="000000"/>
              </w:rPr>
              <w:t>year</w:t>
            </w:r>
            <w:proofErr w:type="gramEnd"/>
            <w:r w:rsidRPr="00ED0E0F">
              <w:rPr>
                <w:rFonts w:eastAsia="Times New Roman"/>
                <w:color w:val="000000"/>
              </w:rPr>
              <w:t>: 2010</w:t>
            </w:r>
          </w:p>
        </w:tc>
      </w:tr>
      <w:tr w:rsidR="00D4428E" w:rsidRPr="00ED0E0F" w14:paraId="028B7E99" w14:textId="77777777" w:rsidTr="003E4D50">
        <w:trPr>
          <w:trHeight w:val="300"/>
        </w:trPr>
        <w:tc>
          <w:tcPr>
            <w:tcW w:w="3050" w:type="dxa"/>
            <w:tcBorders>
              <w:top w:val="nil"/>
              <w:left w:val="nil"/>
              <w:bottom w:val="nil"/>
              <w:right w:val="nil"/>
            </w:tcBorders>
            <w:shd w:val="clear" w:color="auto" w:fill="auto"/>
            <w:noWrap/>
            <w:vAlign w:val="center"/>
            <w:hideMark/>
          </w:tcPr>
          <w:p w14:paraId="3BE8D2E5" w14:textId="77777777" w:rsidR="00D4428E" w:rsidRPr="00ED0E0F" w:rsidRDefault="00D4428E" w:rsidP="003E4D50">
            <w:pPr>
              <w:rPr>
                <w:rFonts w:eastAsia="Times New Roman"/>
                <w:color w:val="000000"/>
              </w:rPr>
            </w:pPr>
            <w:r w:rsidRPr="00ED0E0F">
              <w:rPr>
                <w:rFonts w:eastAsia="Times New Roman"/>
                <w:color w:val="000000"/>
              </w:rPr>
              <w:t>Wages and Salary</w:t>
            </w:r>
          </w:p>
        </w:tc>
        <w:tc>
          <w:tcPr>
            <w:tcW w:w="1300" w:type="dxa"/>
            <w:tcBorders>
              <w:top w:val="nil"/>
              <w:left w:val="nil"/>
              <w:bottom w:val="nil"/>
              <w:right w:val="nil"/>
            </w:tcBorders>
            <w:shd w:val="clear" w:color="auto" w:fill="auto"/>
            <w:noWrap/>
            <w:vAlign w:val="center"/>
            <w:hideMark/>
          </w:tcPr>
          <w:p w14:paraId="6DEF7FBE" w14:textId="77777777" w:rsidR="00D4428E" w:rsidRPr="00ED0E0F" w:rsidRDefault="00D4428E" w:rsidP="003E4D50">
            <w:pPr>
              <w:jc w:val="right"/>
              <w:rPr>
                <w:rFonts w:eastAsia="Times New Roman"/>
                <w:color w:val="000000"/>
              </w:rPr>
            </w:pPr>
            <w:r w:rsidRPr="00ED0E0F">
              <w:rPr>
                <w:rFonts w:eastAsia="Times New Roman"/>
                <w:color w:val="000000"/>
              </w:rPr>
              <w:t>74.0%</w:t>
            </w:r>
          </w:p>
        </w:tc>
        <w:tc>
          <w:tcPr>
            <w:tcW w:w="1300" w:type="dxa"/>
            <w:tcBorders>
              <w:top w:val="nil"/>
              <w:left w:val="nil"/>
              <w:bottom w:val="nil"/>
              <w:right w:val="nil"/>
            </w:tcBorders>
            <w:shd w:val="clear" w:color="auto" w:fill="auto"/>
            <w:noWrap/>
            <w:vAlign w:val="center"/>
            <w:hideMark/>
          </w:tcPr>
          <w:p w14:paraId="18049316" w14:textId="77777777" w:rsidR="00D4428E" w:rsidRPr="00ED0E0F" w:rsidRDefault="00D4428E" w:rsidP="003E4D50">
            <w:pPr>
              <w:jc w:val="right"/>
              <w:rPr>
                <w:rFonts w:eastAsia="Times New Roman"/>
                <w:color w:val="000000"/>
              </w:rPr>
            </w:pPr>
            <w:r w:rsidRPr="00ED0E0F">
              <w:rPr>
                <w:rFonts w:eastAsia="Times New Roman"/>
                <w:color w:val="000000"/>
              </w:rPr>
              <w:t>83.70%</w:t>
            </w:r>
          </w:p>
        </w:tc>
      </w:tr>
      <w:tr w:rsidR="00D4428E" w:rsidRPr="00ED0E0F" w14:paraId="6F1E9BC7" w14:textId="77777777" w:rsidTr="003E4D50">
        <w:trPr>
          <w:trHeight w:val="300"/>
        </w:trPr>
        <w:tc>
          <w:tcPr>
            <w:tcW w:w="3050" w:type="dxa"/>
            <w:tcBorders>
              <w:top w:val="nil"/>
              <w:left w:val="nil"/>
              <w:bottom w:val="nil"/>
              <w:right w:val="nil"/>
            </w:tcBorders>
            <w:shd w:val="clear" w:color="auto" w:fill="auto"/>
            <w:noWrap/>
            <w:vAlign w:val="center"/>
            <w:hideMark/>
          </w:tcPr>
          <w:p w14:paraId="3C8471A0" w14:textId="77777777" w:rsidR="00D4428E" w:rsidRPr="00ED0E0F" w:rsidRDefault="00D4428E" w:rsidP="003E4D50">
            <w:pPr>
              <w:rPr>
                <w:rFonts w:eastAsia="Times New Roman"/>
                <w:color w:val="000000"/>
              </w:rPr>
            </w:pPr>
            <w:r w:rsidRPr="00ED0E0F">
              <w:rPr>
                <w:rFonts w:eastAsia="Times New Roman"/>
                <w:color w:val="000000"/>
              </w:rPr>
              <w:t>Social Security</w:t>
            </w:r>
          </w:p>
        </w:tc>
        <w:tc>
          <w:tcPr>
            <w:tcW w:w="1300" w:type="dxa"/>
            <w:tcBorders>
              <w:top w:val="nil"/>
              <w:left w:val="nil"/>
              <w:bottom w:val="nil"/>
              <w:right w:val="nil"/>
            </w:tcBorders>
            <w:shd w:val="clear" w:color="auto" w:fill="auto"/>
            <w:noWrap/>
            <w:vAlign w:val="center"/>
            <w:hideMark/>
          </w:tcPr>
          <w:p w14:paraId="4007C9E4" w14:textId="77777777" w:rsidR="00D4428E" w:rsidRPr="00ED0E0F" w:rsidRDefault="00D4428E" w:rsidP="003E4D50">
            <w:pPr>
              <w:jc w:val="right"/>
              <w:rPr>
                <w:rFonts w:eastAsia="Times New Roman"/>
                <w:color w:val="000000"/>
              </w:rPr>
            </w:pPr>
            <w:r w:rsidRPr="00ED0E0F">
              <w:rPr>
                <w:rFonts w:eastAsia="Times New Roman"/>
                <w:color w:val="000000"/>
              </w:rPr>
              <w:t>32.5%</w:t>
            </w:r>
          </w:p>
        </w:tc>
        <w:tc>
          <w:tcPr>
            <w:tcW w:w="1300" w:type="dxa"/>
            <w:tcBorders>
              <w:top w:val="nil"/>
              <w:left w:val="nil"/>
              <w:bottom w:val="nil"/>
              <w:right w:val="nil"/>
            </w:tcBorders>
            <w:shd w:val="clear" w:color="auto" w:fill="auto"/>
            <w:noWrap/>
            <w:vAlign w:val="center"/>
            <w:hideMark/>
          </w:tcPr>
          <w:p w14:paraId="05D8F43E" w14:textId="77777777" w:rsidR="00D4428E" w:rsidRPr="00ED0E0F" w:rsidRDefault="00D4428E" w:rsidP="003E4D50">
            <w:pPr>
              <w:jc w:val="right"/>
              <w:rPr>
                <w:rFonts w:eastAsia="Times New Roman"/>
                <w:color w:val="000000"/>
              </w:rPr>
            </w:pPr>
            <w:r w:rsidRPr="00ED0E0F">
              <w:rPr>
                <w:rFonts w:eastAsia="Times New Roman"/>
                <w:color w:val="000000"/>
              </w:rPr>
              <w:t>26.40%</w:t>
            </w:r>
          </w:p>
        </w:tc>
      </w:tr>
      <w:tr w:rsidR="00D4428E" w:rsidRPr="00ED0E0F" w14:paraId="33A526F7" w14:textId="77777777" w:rsidTr="003E4D50">
        <w:trPr>
          <w:trHeight w:val="300"/>
        </w:trPr>
        <w:tc>
          <w:tcPr>
            <w:tcW w:w="3050" w:type="dxa"/>
            <w:tcBorders>
              <w:top w:val="nil"/>
              <w:left w:val="nil"/>
              <w:bottom w:val="nil"/>
              <w:right w:val="nil"/>
            </w:tcBorders>
            <w:shd w:val="clear" w:color="auto" w:fill="auto"/>
            <w:noWrap/>
            <w:vAlign w:val="center"/>
            <w:hideMark/>
          </w:tcPr>
          <w:p w14:paraId="044B1669" w14:textId="77777777" w:rsidR="00D4428E" w:rsidRPr="00ED0E0F" w:rsidRDefault="00D4428E" w:rsidP="003E4D50">
            <w:pPr>
              <w:rPr>
                <w:rFonts w:eastAsia="Times New Roman"/>
                <w:color w:val="000000"/>
              </w:rPr>
            </w:pPr>
            <w:r w:rsidRPr="00ED0E0F">
              <w:rPr>
                <w:rFonts w:eastAsia="Times New Roman"/>
                <w:color w:val="000000"/>
              </w:rPr>
              <w:t>Retirement Income</w:t>
            </w:r>
          </w:p>
        </w:tc>
        <w:tc>
          <w:tcPr>
            <w:tcW w:w="1300" w:type="dxa"/>
            <w:tcBorders>
              <w:top w:val="nil"/>
              <w:left w:val="nil"/>
              <w:bottom w:val="nil"/>
              <w:right w:val="nil"/>
            </w:tcBorders>
            <w:shd w:val="clear" w:color="auto" w:fill="auto"/>
            <w:noWrap/>
            <w:vAlign w:val="center"/>
            <w:hideMark/>
          </w:tcPr>
          <w:p w14:paraId="4FA76A06" w14:textId="77777777" w:rsidR="00D4428E" w:rsidRPr="00ED0E0F" w:rsidRDefault="00D4428E" w:rsidP="003E4D50">
            <w:pPr>
              <w:jc w:val="right"/>
              <w:rPr>
                <w:rFonts w:eastAsia="Times New Roman"/>
                <w:color w:val="000000"/>
              </w:rPr>
            </w:pPr>
            <w:r w:rsidRPr="00ED0E0F">
              <w:rPr>
                <w:rFonts w:eastAsia="Times New Roman"/>
                <w:color w:val="000000"/>
              </w:rPr>
              <w:t>11.8%</w:t>
            </w:r>
          </w:p>
        </w:tc>
        <w:tc>
          <w:tcPr>
            <w:tcW w:w="1300" w:type="dxa"/>
            <w:tcBorders>
              <w:top w:val="nil"/>
              <w:left w:val="nil"/>
              <w:bottom w:val="nil"/>
              <w:right w:val="nil"/>
            </w:tcBorders>
            <w:shd w:val="clear" w:color="auto" w:fill="auto"/>
            <w:noWrap/>
            <w:vAlign w:val="center"/>
            <w:hideMark/>
          </w:tcPr>
          <w:p w14:paraId="649B44A4" w14:textId="77777777" w:rsidR="00D4428E" w:rsidRPr="00ED0E0F" w:rsidRDefault="00D4428E" w:rsidP="003E4D50">
            <w:pPr>
              <w:jc w:val="right"/>
              <w:rPr>
                <w:rFonts w:eastAsia="Times New Roman"/>
                <w:color w:val="000000"/>
              </w:rPr>
            </w:pPr>
            <w:r w:rsidRPr="00ED0E0F">
              <w:rPr>
                <w:rFonts w:eastAsia="Times New Roman"/>
                <w:color w:val="000000"/>
              </w:rPr>
              <w:t>13.70%</w:t>
            </w:r>
          </w:p>
        </w:tc>
      </w:tr>
      <w:tr w:rsidR="00D4428E" w:rsidRPr="00ED0E0F" w14:paraId="0FF4E55D" w14:textId="77777777" w:rsidTr="003E4D50">
        <w:trPr>
          <w:trHeight w:val="300"/>
        </w:trPr>
        <w:tc>
          <w:tcPr>
            <w:tcW w:w="3050" w:type="dxa"/>
            <w:tcBorders>
              <w:top w:val="nil"/>
              <w:left w:val="nil"/>
              <w:bottom w:val="nil"/>
              <w:right w:val="nil"/>
            </w:tcBorders>
            <w:shd w:val="clear" w:color="auto" w:fill="auto"/>
            <w:noWrap/>
            <w:vAlign w:val="center"/>
            <w:hideMark/>
          </w:tcPr>
          <w:p w14:paraId="61D48DF9" w14:textId="77777777" w:rsidR="00D4428E" w:rsidRPr="00ED0E0F" w:rsidRDefault="00D4428E" w:rsidP="003E4D50">
            <w:pPr>
              <w:rPr>
                <w:rFonts w:eastAsia="Times New Roman"/>
                <w:color w:val="000000"/>
              </w:rPr>
            </w:pPr>
            <w:r w:rsidRPr="00ED0E0F">
              <w:rPr>
                <w:rFonts w:eastAsia="Times New Roman"/>
                <w:color w:val="000000"/>
              </w:rPr>
              <w:t>Supplemental Security Income</w:t>
            </w:r>
          </w:p>
        </w:tc>
        <w:tc>
          <w:tcPr>
            <w:tcW w:w="1300" w:type="dxa"/>
            <w:tcBorders>
              <w:top w:val="nil"/>
              <w:left w:val="nil"/>
              <w:bottom w:val="nil"/>
              <w:right w:val="nil"/>
            </w:tcBorders>
            <w:shd w:val="clear" w:color="auto" w:fill="auto"/>
            <w:noWrap/>
            <w:vAlign w:val="center"/>
            <w:hideMark/>
          </w:tcPr>
          <w:p w14:paraId="325764CC" w14:textId="77777777" w:rsidR="00D4428E" w:rsidRPr="00ED0E0F" w:rsidRDefault="00D4428E" w:rsidP="003E4D50">
            <w:pPr>
              <w:jc w:val="right"/>
              <w:rPr>
                <w:rFonts w:eastAsia="Times New Roman"/>
                <w:color w:val="000000"/>
              </w:rPr>
            </w:pPr>
            <w:r w:rsidRPr="00ED0E0F">
              <w:rPr>
                <w:rFonts w:eastAsia="Times New Roman"/>
                <w:color w:val="000000"/>
              </w:rPr>
              <w:t>2.3%</w:t>
            </w:r>
          </w:p>
        </w:tc>
        <w:tc>
          <w:tcPr>
            <w:tcW w:w="1300" w:type="dxa"/>
            <w:tcBorders>
              <w:top w:val="nil"/>
              <w:left w:val="nil"/>
              <w:bottom w:val="nil"/>
              <w:right w:val="nil"/>
            </w:tcBorders>
            <w:shd w:val="clear" w:color="auto" w:fill="auto"/>
            <w:noWrap/>
            <w:vAlign w:val="center"/>
            <w:hideMark/>
          </w:tcPr>
          <w:p w14:paraId="5DC2A9B1" w14:textId="77777777" w:rsidR="00D4428E" w:rsidRPr="00ED0E0F" w:rsidRDefault="00D4428E" w:rsidP="003E4D50">
            <w:pPr>
              <w:jc w:val="right"/>
              <w:rPr>
                <w:rFonts w:eastAsia="Times New Roman"/>
                <w:color w:val="000000"/>
              </w:rPr>
            </w:pPr>
            <w:r w:rsidRPr="00ED0E0F">
              <w:rPr>
                <w:rFonts w:eastAsia="Times New Roman"/>
                <w:color w:val="000000"/>
              </w:rPr>
              <w:t>1.70%</w:t>
            </w:r>
          </w:p>
        </w:tc>
      </w:tr>
      <w:tr w:rsidR="00D4428E" w:rsidRPr="00ED0E0F" w14:paraId="5B247DC1" w14:textId="77777777" w:rsidTr="003E4D50">
        <w:trPr>
          <w:trHeight w:val="300"/>
        </w:trPr>
        <w:tc>
          <w:tcPr>
            <w:tcW w:w="3050" w:type="dxa"/>
            <w:tcBorders>
              <w:top w:val="nil"/>
              <w:left w:val="nil"/>
              <w:bottom w:val="nil"/>
              <w:right w:val="nil"/>
            </w:tcBorders>
            <w:shd w:val="clear" w:color="auto" w:fill="auto"/>
            <w:noWrap/>
            <w:vAlign w:val="center"/>
            <w:hideMark/>
          </w:tcPr>
          <w:p w14:paraId="410FD024" w14:textId="77777777" w:rsidR="00D4428E" w:rsidRPr="00ED0E0F" w:rsidRDefault="00D4428E" w:rsidP="003E4D50">
            <w:pPr>
              <w:rPr>
                <w:rFonts w:eastAsia="Times New Roman"/>
                <w:color w:val="000000"/>
              </w:rPr>
            </w:pPr>
            <w:r w:rsidRPr="00ED0E0F">
              <w:rPr>
                <w:rFonts w:eastAsia="Times New Roman"/>
                <w:color w:val="000000"/>
              </w:rPr>
              <w:t>Cash Public Assistance Income</w:t>
            </w:r>
          </w:p>
        </w:tc>
        <w:tc>
          <w:tcPr>
            <w:tcW w:w="1300" w:type="dxa"/>
            <w:tcBorders>
              <w:top w:val="nil"/>
              <w:left w:val="nil"/>
              <w:bottom w:val="nil"/>
              <w:right w:val="nil"/>
            </w:tcBorders>
            <w:shd w:val="clear" w:color="auto" w:fill="auto"/>
            <w:noWrap/>
            <w:vAlign w:val="center"/>
            <w:hideMark/>
          </w:tcPr>
          <w:p w14:paraId="16B0C721" w14:textId="77777777" w:rsidR="00D4428E" w:rsidRPr="00ED0E0F" w:rsidRDefault="00D4428E" w:rsidP="003E4D50">
            <w:pPr>
              <w:jc w:val="right"/>
              <w:rPr>
                <w:rFonts w:eastAsia="Times New Roman"/>
                <w:color w:val="000000"/>
              </w:rPr>
            </w:pPr>
            <w:r w:rsidRPr="00ED0E0F">
              <w:rPr>
                <w:rFonts w:eastAsia="Times New Roman"/>
                <w:color w:val="000000"/>
              </w:rPr>
              <w:t>2.5%</w:t>
            </w:r>
          </w:p>
        </w:tc>
        <w:tc>
          <w:tcPr>
            <w:tcW w:w="1300" w:type="dxa"/>
            <w:tcBorders>
              <w:top w:val="nil"/>
              <w:left w:val="nil"/>
              <w:bottom w:val="nil"/>
              <w:right w:val="nil"/>
            </w:tcBorders>
            <w:shd w:val="clear" w:color="auto" w:fill="auto"/>
            <w:noWrap/>
            <w:vAlign w:val="center"/>
            <w:hideMark/>
          </w:tcPr>
          <w:p w14:paraId="16D3EC7F" w14:textId="77777777" w:rsidR="00D4428E" w:rsidRPr="00ED0E0F" w:rsidRDefault="00D4428E" w:rsidP="003E4D50">
            <w:pPr>
              <w:jc w:val="right"/>
              <w:rPr>
                <w:rFonts w:eastAsia="Times New Roman"/>
                <w:color w:val="000000"/>
              </w:rPr>
            </w:pPr>
            <w:r w:rsidRPr="00ED0E0F">
              <w:rPr>
                <w:rFonts w:eastAsia="Times New Roman"/>
                <w:color w:val="000000"/>
              </w:rPr>
              <w:t>2.40%</w:t>
            </w:r>
          </w:p>
        </w:tc>
      </w:tr>
    </w:tbl>
    <w:p w14:paraId="21F9491B" w14:textId="77777777" w:rsidR="00D4428E" w:rsidRPr="00ED0E0F" w:rsidRDefault="00D4428E" w:rsidP="00D4428E"/>
    <w:p w14:paraId="73764B2D" w14:textId="77777777" w:rsidR="00D4428E" w:rsidRPr="00ED0E0F" w:rsidRDefault="00D4428E" w:rsidP="00D4428E">
      <w:pPr>
        <w:rPr>
          <w:b/>
        </w:rPr>
      </w:pPr>
    </w:p>
    <w:p w14:paraId="1C2EEA4C" w14:textId="77777777" w:rsidR="00D4428E" w:rsidRPr="00ED0E0F" w:rsidRDefault="00D4428E" w:rsidP="00D4428E">
      <w:pPr>
        <w:rPr>
          <w:b/>
        </w:rPr>
      </w:pPr>
    </w:p>
    <w:p w14:paraId="4EDF1D48" w14:textId="77777777" w:rsidR="00D4428E" w:rsidRPr="00ED0E0F" w:rsidRDefault="00D4428E" w:rsidP="00D4428E">
      <w:pPr>
        <w:rPr>
          <w:b/>
        </w:rPr>
      </w:pPr>
      <w:r w:rsidRPr="00ED0E0F">
        <w:rPr>
          <w:b/>
        </w:rPr>
        <w:t>Table 8 Industries in Morris City 2010</w:t>
      </w:r>
    </w:p>
    <w:tbl>
      <w:tblPr>
        <w:tblW w:w="8670" w:type="dxa"/>
        <w:tblInd w:w="93" w:type="dxa"/>
        <w:tblLook w:val="04A0" w:firstRow="1" w:lastRow="0" w:firstColumn="1" w:lastColumn="0" w:noHBand="0" w:noVBand="1"/>
      </w:tblPr>
      <w:tblGrid>
        <w:gridCol w:w="7488"/>
        <w:gridCol w:w="1182"/>
      </w:tblGrid>
      <w:tr w:rsidR="00D4428E" w:rsidRPr="00ED0E0F" w14:paraId="19F57463" w14:textId="77777777" w:rsidTr="003E4D50">
        <w:trPr>
          <w:trHeight w:val="300"/>
        </w:trPr>
        <w:tc>
          <w:tcPr>
            <w:tcW w:w="7488" w:type="dxa"/>
            <w:tcBorders>
              <w:top w:val="nil"/>
              <w:left w:val="nil"/>
              <w:bottom w:val="nil"/>
              <w:right w:val="nil"/>
            </w:tcBorders>
            <w:shd w:val="clear" w:color="auto" w:fill="auto"/>
            <w:noWrap/>
            <w:vAlign w:val="center"/>
            <w:hideMark/>
          </w:tcPr>
          <w:p w14:paraId="60732B6C" w14:textId="77777777" w:rsidR="00D4428E" w:rsidRPr="00ED0E0F" w:rsidRDefault="00D4428E" w:rsidP="003E4D50">
            <w:pPr>
              <w:rPr>
                <w:rFonts w:eastAsia="Times New Roman"/>
                <w:color w:val="222222"/>
              </w:rPr>
            </w:pPr>
          </w:p>
        </w:tc>
        <w:tc>
          <w:tcPr>
            <w:tcW w:w="1182" w:type="dxa"/>
            <w:vMerge w:val="restart"/>
            <w:tcBorders>
              <w:top w:val="nil"/>
              <w:left w:val="nil"/>
              <w:bottom w:val="nil"/>
              <w:right w:val="nil"/>
            </w:tcBorders>
            <w:shd w:val="clear" w:color="auto" w:fill="auto"/>
            <w:noWrap/>
            <w:vAlign w:val="center"/>
            <w:hideMark/>
          </w:tcPr>
          <w:p w14:paraId="3D55A706" w14:textId="77777777" w:rsidR="00D4428E" w:rsidRPr="00ED0E0F" w:rsidRDefault="00D4428E" w:rsidP="003E4D50">
            <w:pPr>
              <w:jc w:val="right"/>
              <w:rPr>
                <w:rFonts w:eastAsia="Times New Roman"/>
                <w:color w:val="222222"/>
              </w:rPr>
            </w:pPr>
            <w:r w:rsidRPr="00ED0E0F">
              <w:rPr>
                <w:rFonts w:eastAsia="Times New Roman"/>
                <w:color w:val="222222"/>
              </w:rPr>
              <w:t>120</w:t>
            </w:r>
          </w:p>
        </w:tc>
      </w:tr>
      <w:tr w:rsidR="00D4428E" w:rsidRPr="00ED0E0F" w14:paraId="20F66432" w14:textId="77777777" w:rsidTr="003E4D50">
        <w:trPr>
          <w:trHeight w:val="300"/>
        </w:trPr>
        <w:tc>
          <w:tcPr>
            <w:tcW w:w="7488" w:type="dxa"/>
            <w:tcBorders>
              <w:top w:val="nil"/>
              <w:left w:val="nil"/>
              <w:bottom w:val="nil"/>
              <w:right w:val="nil"/>
            </w:tcBorders>
            <w:shd w:val="clear" w:color="auto" w:fill="auto"/>
            <w:noWrap/>
            <w:vAlign w:val="center"/>
            <w:hideMark/>
          </w:tcPr>
          <w:p w14:paraId="787EC052" w14:textId="77777777" w:rsidR="00D4428E" w:rsidRPr="00ED0E0F" w:rsidRDefault="00D4428E" w:rsidP="003E4D50">
            <w:pPr>
              <w:rPr>
                <w:rFonts w:eastAsia="Times New Roman"/>
                <w:color w:val="222222"/>
              </w:rPr>
            </w:pPr>
            <w:r w:rsidRPr="00ED0E0F">
              <w:rPr>
                <w:rFonts w:eastAsia="Times New Roman"/>
                <w:color w:val="222222"/>
              </w:rPr>
              <w:t>Agriculture, forestry, fishing and hunting, and mining</w:t>
            </w:r>
          </w:p>
        </w:tc>
        <w:tc>
          <w:tcPr>
            <w:tcW w:w="1182" w:type="dxa"/>
            <w:vMerge/>
            <w:tcBorders>
              <w:top w:val="nil"/>
              <w:left w:val="nil"/>
              <w:bottom w:val="nil"/>
              <w:right w:val="nil"/>
            </w:tcBorders>
            <w:vAlign w:val="center"/>
            <w:hideMark/>
          </w:tcPr>
          <w:p w14:paraId="31A4F922" w14:textId="77777777" w:rsidR="00D4428E" w:rsidRPr="00ED0E0F" w:rsidRDefault="00D4428E" w:rsidP="003E4D50">
            <w:pPr>
              <w:rPr>
                <w:rFonts w:eastAsia="Times New Roman"/>
                <w:color w:val="222222"/>
              </w:rPr>
            </w:pPr>
          </w:p>
        </w:tc>
      </w:tr>
      <w:tr w:rsidR="00D4428E" w:rsidRPr="00ED0E0F" w14:paraId="5111FF72" w14:textId="77777777" w:rsidTr="003E4D50">
        <w:trPr>
          <w:trHeight w:val="300"/>
        </w:trPr>
        <w:tc>
          <w:tcPr>
            <w:tcW w:w="7488" w:type="dxa"/>
            <w:tcBorders>
              <w:top w:val="nil"/>
              <w:left w:val="nil"/>
              <w:bottom w:val="nil"/>
              <w:right w:val="nil"/>
            </w:tcBorders>
            <w:shd w:val="clear" w:color="auto" w:fill="auto"/>
            <w:noWrap/>
            <w:vAlign w:val="center"/>
            <w:hideMark/>
          </w:tcPr>
          <w:p w14:paraId="276E99A6" w14:textId="77777777" w:rsidR="00D4428E" w:rsidRPr="00ED0E0F" w:rsidRDefault="00D4428E" w:rsidP="003E4D50">
            <w:pPr>
              <w:rPr>
                <w:rFonts w:eastAsia="Times New Roman"/>
                <w:color w:val="222222"/>
              </w:rPr>
            </w:pPr>
            <w:r w:rsidRPr="00ED0E0F">
              <w:rPr>
                <w:rFonts w:eastAsia="Times New Roman"/>
                <w:color w:val="222222"/>
              </w:rPr>
              <w:t>Construction</w:t>
            </w:r>
          </w:p>
        </w:tc>
        <w:tc>
          <w:tcPr>
            <w:tcW w:w="1182" w:type="dxa"/>
            <w:tcBorders>
              <w:top w:val="nil"/>
              <w:left w:val="nil"/>
              <w:bottom w:val="nil"/>
              <w:right w:val="nil"/>
            </w:tcBorders>
            <w:shd w:val="clear" w:color="auto" w:fill="auto"/>
            <w:noWrap/>
            <w:vAlign w:val="center"/>
            <w:hideMark/>
          </w:tcPr>
          <w:p w14:paraId="590933B8" w14:textId="77777777" w:rsidR="00D4428E" w:rsidRPr="00ED0E0F" w:rsidRDefault="00D4428E" w:rsidP="003E4D50">
            <w:pPr>
              <w:jc w:val="right"/>
              <w:rPr>
                <w:rFonts w:eastAsia="Times New Roman"/>
                <w:color w:val="222222"/>
              </w:rPr>
            </w:pPr>
            <w:r w:rsidRPr="00ED0E0F">
              <w:rPr>
                <w:rFonts w:eastAsia="Times New Roman"/>
                <w:color w:val="222222"/>
              </w:rPr>
              <w:t>45</w:t>
            </w:r>
          </w:p>
        </w:tc>
      </w:tr>
      <w:tr w:rsidR="00D4428E" w:rsidRPr="00ED0E0F" w14:paraId="04F1E5DB" w14:textId="77777777" w:rsidTr="003E4D50">
        <w:trPr>
          <w:trHeight w:val="300"/>
        </w:trPr>
        <w:tc>
          <w:tcPr>
            <w:tcW w:w="7488" w:type="dxa"/>
            <w:tcBorders>
              <w:top w:val="nil"/>
              <w:left w:val="nil"/>
              <w:bottom w:val="nil"/>
              <w:right w:val="nil"/>
            </w:tcBorders>
            <w:shd w:val="clear" w:color="auto" w:fill="auto"/>
            <w:noWrap/>
            <w:vAlign w:val="center"/>
            <w:hideMark/>
          </w:tcPr>
          <w:p w14:paraId="3A819DF1" w14:textId="77777777" w:rsidR="00D4428E" w:rsidRPr="00ED0E0F" w:rsidRDefault="00D4428E" w:rsidP="003E4D50">
            <w:pPr>
              <w:rPr>
                <w:rFonts w:eastAsia="Times New Roman"/>
                <w:color w:val="222222"/>
              </w:rPr>
            </w:pPr>
            <w:r w:rsidRPr="00ED0E0F">
              <w:rPr>
                <w:rFonts w:eastAsia="Times New Roman"/>
                <w:color w:val="222222"/>
              </w:rPr>
              <w:t>Manufacturing</w:t>
            </w:r>
          </w:p>
        </w:tc>
        <w:tc>
          <w:tcPr>
            <w:tcW w:w="1182" w:type="dxa"/>
            <w:tcBorders>
              <w:top w:val="nil"/>
              <w:left w:val="nil"/>
              <w:bottom w:val="nil"/>
              <w:right w:val="nil"/>
            </w:tcBorders>
            <w:shd w:val="clear" w:color="auto" w:fill="auto"/>
            <w:noWrap/>
            <w:vAlign w:val="center"/>
            <w:hideMark/>
          </w:tcPr>
          <w:p w14:paraId="1995051D" w14:textId="77777777" w:rsidR="00D4428E" w:rsidRPr="00ED0E0F" w:rsidRDefault="00D4428E" w:rsidP="003E4D50">
            <w:pPr>
              <w:jc w:val="right"/>
              <w:rPr>
                <w:rFonts w:eastAsia="Times New Roman"/>
                <w:color w:val="222222"/>
              </w:rPr>
            </w:pPr>
            <w:r w:rsidRPr="00ED0E0F">
              <w:rPr>
                <w:rFonts w:eastAsia="Times New Roman"/>
                <w:color w:val="222222"/>
              </w:rPr>
              <w:t>218</w:t>
            </w:r>
          </w:p>
        </w:tc>
      </w:tr>
      <w:tr w:rsidR="00D4428E" w:rsidRPr="00ED0E0F" w14:paraId="3636DC96" w14:textId="77777777" w:rsidTr="003E4D50">
        <w:trPr>
          <w:trHeight w:val="300"/>
        </w:trPr>
        <w:tc>
          <w:tcPr>
            <w:tcW w:w="7488" w:type="dxa"/>
            <w:tcBorders>
              <w:top w:val="nil"/>
              <w:left w:val="nil"/>
              <w:bottom w:val="nil"/>
              <w:right w:val="nil"/>
            </w:tcBorders>
            <w:shd w:val="clear" w:color="auto" w:fill="auto"/>
            <w:noWrap/>
            <w:vAlign w:val="center"/>
            <w:hideMark/>
          </w:tcPr>
          <w:p w14:paraId="4F0BBE80" w14:textId="77777777" w:rsidR="00D4428E" w:rsidRPr="00ED0E0F" w:rsidRDefault="00D4428E" w:rsidP="003E4D50">
            <w:pPr>
              <w:rPr>
                <w:rFonts w:eastAsia="Times New Roman"/>
                <w:color w:val="222222"/>
              </w:rPr>
            </w:pPr>
            <w:r w:rsidRPr="00ED0E0F">
              <w:rPr>
                <w:rFonts w:eastAsia="Times New Roman"/>
                <w:color w:val="222222"/>
              </w:rPr>
              <w:t>Wholesale trade</w:t>
            </w:r>
          </w:p>
        </w:tc>
        <w:tc>
          <w:tcPr>
            <w:tcW w:w="1182" w:type="dxa"/>
            <w:tcBorders>
              <w:top w:val="nil"/>
              <w:left w:val="nil"/>
              <w:bottom w:val="nil"/>
              <w:right w:val="nil"/>
            </w:tcBorders>
            <w:shd w:val="clear" w:color="auto" w:fill="auto"/>
            <w:noWrap/>
            <w:vAlign w:val="center"/>
            <w:hideMark/>
          </w:tcPr>
          <w:p w14:paraId="10981A55" w14:textId="77777777" w:rsidR="00D4428E" w:rsidRPr="00ED0E0F" w:rsidRDefault="00D4428E" w:rsidP="003E4D50">
            <w:pPr>
              <w:jc w:val="right"/>
              <w:rPr>
                <w:rFonts w:eastAsia="Times New Roman"/>
                <w:color w:val="222222"/>
              </w:rPr>
            </w:pPr>
            <w:r w:rsidRPr="00ED0E0F">
              <w:rPr>
                <w:rFonts w:eastAsia="Times New Roman"/>
                <w:color w:val="222222"/>
              </w:rPr>
              <w:t>38</w:t>
            </w:r>
          </w:p>
        </w:tc>
      </w:tr>
      <w:tr w:rsidR="00D4428E" w:rsidRPr="00ED0E0F" w14:paraId="1D239FC4" w14:textId="77777777" w:rsidTr="003E4D50">
        <w:trPr>
          <w:trHeight w:val="300"/>
        </w:trPr>
        <w:tc>
          <w:tcPr>
            <w:tcW w:w="7488" w:type="dxa"/>
            <w:tcBorders>
              <w:top w:val="nil"/>
              <w:left w:val="nil"/>
              <w:bottom w:val="nil"/>
              <w:right w:val="nil"/>
            </w:tcBorders>
            <w:shd w:val="clear" w:color="auto" w:fill="auto"/>
            <w:noWrap/>
            <w:vAlign w:val="center"/>
            <w:hideMark/>
          </w:tcPr>
          <w:p w14:paraId="71B938B0" w14:textId="77777777" w:rsidR="00D4428E" w:rsidRPr="00ED0E0F" w:rsidRDefault="00D4428E" w:rsidP="003E4D50">
            <w:pPr>
              <w:rPr>
                <w:rFonts w:eastAsia="Times New Roman"/>
                <w:color w:val="222222"/>
              </w:rPr>
            </w:pPr>
            <w:r w:rsidRPr="00ED0E0F">
              <w:rPr>
                <w:rFonts w:eastAsia="Times New Roman"/>
                <w:color w:val="222222"/>
              </w:rPr>
              <w:t>Retail trade</w:t>
            </w:r>
          </w:p>
        </w:tc>
        <w:tc>
          <w:tcPr>
            <w:tcW w:w="1182" w:type="dxa"/>
            <w:tcBorders>
              <w:top w:val="nil"/>
              <w:left w:val="nil"/>
              <w:bottom w:val="nil"/>
              <w:right w:val="nil"/>
            </w:tcBorders>
            <w:shd w:val="clear" w:color="auto" w:fill="auto"/>
            <w:noWrap/>
            <w:vAlign w:val="center"/>
            <w:hideMark/>
          </w:tcPr>
          <w:p w14:paraId="69C09BBD" w14:textId="77777777" w:rsidR="00D4428E" w:rsidRPr="00ED0E0F" w:rsidRDefault="00D4428E" w:rsidP="003E4D50">
            <w:pPr>
              <w:jc w:val="right"/>
              <w:rPr>
                <w:rFonts w:eastAsia="Times New Roman"/>
                <w:color w:val="222222"/>
              </w:rPr>
            </w:pPr>
            <w:r w:rsidRPr="00ED0E0F">
              <w:rPr>
                <w:rFonts w:eastAsia="Times New Roman"/>
                <w:color w:val="222222"/>
              </w:rPr>
              <w:t>323</w:t>
            </w:r>
          </w:p>
        </w:tc>
      </w:tr>
      <w:tr w:rsidR="00D4428E" w:rsidRPr="00ED0E0F" w14:paraId="27224751" w14:textId="77777777" w:rsidTr="003E4D50">
        <w:trPr>
          <w:trHeight w:val="300"/>
        </w:trPr>
        <w:tc>
          <w:tcPr>
            <w:tcW w:w="7488" w:type="dxa"/>
            <w:tcBorders>
              <w:top w:val="nil"/>
              <w:left w:val="nil"/>
              <w:bottom w:val="nil"/>
              <w:right w:val="nil"/>
            </w:tcBorders>
            <w:shd w:val="clear" w:color="auto" w:fill="auto"/>
            <w:noWrap/>
            <w:vAlign w:val="center"/>
            <w:hideMark/>
          </w:tcPr>
          <w:p w14:paraId="7AB4F093" w14:textId="77777777" w:rsidR="00D4428E" w:rsidRPr="00ED0E0F" w:rsidRDefault="00D4428E" w:rsidP="003E4D50">
            <w:pPr>
              <w:rPr>
                <w:rFonts w:eastAsia="Times New Roman"/>
                <w:color w:val="222222"/>
              </w:rPr>
            </w:pPr>
            <w:r w:rsidRPr="00ED0E0F">
              <w:rPr>
                <w:rFonts w:eastAsia="Times New Roman"/>
                <w:color w:val="222222"/>
              </w:rPr>
              <w:t>Transportation and warehousing, and utilities</w:t>
            </w:r>
          </w:p>
        </w:tc>
        <w:tc>
          <w:tcPr>
            <w:tcW w:w="1182" w:type="dxa"/>
            <w:tcBorders>
              <w:top w:val="nil"/>
              <w:left w:val="nil"/>
              <w:bottom w:val="nil"/>
              <w:right w:val="nil"/>
            </w:tcBorders>
            <w:shd w:val="clear" w:color="auto" w:fill="auto"/>
            <w:noWrap/>
            <w:vAlign w:val="center"/>
            <w:hideMark/>
          </w:tcPr>
          <w:p w14:paraId="0A7E3775" w14:textId="77777777" w:rsidR="00D4428E" w:rsidRPr="00ED0E0F" w:rsidRDefault="00D4428E" w:rsidP="003E4D50">
            <w:pPr>
              <w:jc w:val="right"/>
              <w:rPr>
                <w:rFonts w:eastAsia="Times New Roman"/>
                <w:color w:val="222222"/>
              </w:rPr>
            </w:pPr>
            <w:r w:rsidRPr="00ED0E0F">
              <w:rPr>
                <w:rFonts w:eastAsia="Times New Roman"/>
                <w:color w:val="222222"/>
              </w:rPr>
              <w:t>39</w:t>
            </w:r>
          </w:p>
        </w:tc>
      </w:tr>
      <w:tr w:rsidR="00D4428E" w:rsidRPr="00ED0E0F" w14:paraId="38A9B2B5" w14:textId="77777777" w:rsidTr="003E4D50">
        <w:trPr>
          <w:trHeight w:val="300"/>
        </w:trPr>
        <w:tc>
          <w:tcPr>
            <w:tcW w:w="7488" w:type="dxa"/>
            <w:tcBorders>
              <w:top w:val="nil"/>
              <w:left w:val="nil"/>
              <w:bottom w:val="nil"/>
              <w:right w:val="nil"/>
            </w:tcBorders>
            <w:shd w:val="clear" w:color="auto" w:fill="auto"/>
            <w:noWrap/>
            <w:vAlign w:val="center"/>
            <w:hideMark/>
          </w:tcPr>
          <w:p w14:paraId="6916B0A9" w14:textId="77777777" w:rsidR="00D4428E" w:rsidRPr="00ED0E0F" w:rsidRDefault="00D4428E" w:rsidP="003E4D50">
            <w:pPr>
              <w:rPr>
                <w:rFonts w:eastAsia="Times New Roman"/>
                <w:color w:val="222222"/>
              </w:rPr>
            </w:pPr>
            <w:r w:rsidRPr="00ED0E0F">
              <w:rPr>
                <w:rFonts w:eastAsia="Times New Roman"/>
                <w:color w:val="222222"/>
              </w:rPr>
              <w:t>Information</w:t>
            </w:r>
          </w:p>
        </w:tc>
        <w:tc>
          <w:tcPr>
            <w:tcW w:w="1182" w:type="dxa"/>
            <w:tcBorders>
              <w:top w:val="nil"/>
              <w:left w:val="nil"/>
              <w:bottom w:val="nil"/>
              <w:right w:val="nil"/>
            </w:tcBorders>
            <w:shd w:val="clear" w:color="auto" w:fill="auto"/>
            <w:noWrap/>
            <w:vAlign w:val="center"/>
            <w:hideMark/>
          </w:tcPr>
          <w:p w14:paraId="2684331D" w14:textId="77777777" w:rsidR="00D4428E" w:rsidRPr="00ED0E0F" w:rsidRDefault="00D4428E" w:rsidP="003E4D50">
            <w:pPr>
              <w:jc w:val="right"/>
              <w:rPr>
                <w:rFonts w:eastAsia="Times New Roman"/>
                <w:color w:val="222222"/>
              </w:rPr>
            </w:pPr>
            <w:r w:rsidRPr="00ED0E0F">
              <w:rPr>
                <w:rFonts w:eastAsia="Times New Roman"/>
                <w:color w:val="222222"/>
              </w:rPr>
              <w:t>43</w:t>
            </w:r>
          </w:p>
        </w:tc>
      </w:tr>
      <w:tr w:rsidR="00D4428E" w:rsidRPr="00ED0E0F" w14:paraId="2EE8F86E" w14:textId="77777777" w:rsidTr="003E4D50">
        <w:trPr>
          <w:trHeight w:val="300"/>
        </w:trPr>
        <w:tc>
          <w:tcPr>
            <w:tcW w:w="7488" w:type="dxa"/>
            <w:tcBorders>
              <w:top w:val="nil"/>
              <w:left w:val="nil"/>
              <w:bottom w:val="nil"/>
              <w:right w:val="nil"/>
            </w:tcBorders>
            <w:shd w:val="clear" w:color="auto" w:fill="auto"/>
            <w:noWrap/>
            <w:vAlign w:val="center"/>
            <w:hideMark/>
          </w:tcPr>
          <w:p w14:paraId="6139950E" w14:textId="77777777" w:rsidR="00D4428E" w:rsidRPr="00ED0E0F" w:rsidRDefault="00D4428E" w:rsidP="003E4D50">
            <w:pPr>
              <w:rPr>
                <w:rFonts w:eastAsia="Times New Roman"/>
                <w:color w:val="222222"/>
              </w:rPr>
            </w:pPr>
            <w:r w:rsidRPr="00ED0E0F">
              <w:rPr>
                <w:rFonts w:eastAsia="Times New Roman"/>
                <w:color w:val="222222"/>
              </w:rPr>
              <w:t>Finance and insurance, and real estate and rental and leasing</w:t>
            </w:r>
          </w:p>
        </w:tc>
        <w:tc>
          <w:tcPr>
            <w:tcW w:w="1182" w:type="dxa"/>
            <w:tcBorders>
              <w:top w:val="nil"/>
              <w:left w:val="nil"/>
              <w:bottom w:val="nil"/>
              <w:right w:val="nil"/>
            </w:tcBorders>
            <w:shd w:val="clear" w:color="auto" w:fill="auto"/>
            <w:noWrap/>
            <w:vAlign w:val="center"/>
            <w:hideMark/>
          </w:tcPr>
          <w:p w14:paraId="791828FA" w14:textId="77777777" w:rsidR="00D4428E" w:rsidRPr="00ED0E0F" w:rsidRDefault="00D4428E" w:rsidP="003E4D50">
            <w:pPr>
              <w:jc w:val="right"/>
              <w:rPr>
                <w:rFonts w:eastAsia="Times New Roman"/>
                <w:color w:val="222222"/>
              </w:rPr>
            </w:pPr>
            <w:r w:rsidRPr="00ED0E0F">
              <w:rPr>
                <w:rFonts w:eastAsia="Times New Roman"/>
                <w:color w:val="222222"/>
              </w:rPr>
              <w:t>109</w:t>
            </w:r>
          </w:p>
        </w:tc>
      </w:tr>
      <w:tr w:rsidR="00D4428E" w:rsidRPr="00ED0E0F" w14:paraId="0DF3BEC5" w14:textId="77777777" w:rsidTr="003E4D50">
        <w:trPr>
          <w:trHeight w:val="300"/>
        </w:trPr>
        <w:tc>
          <w:tcPr>
            <w:tcW w:w="7488" w:type="dxa"/>
            <w:tcBorders>
              <w:top w:val="nil"/>
              <w:left w:val="nil"/>
              <w:bottom w:val="nil"/>
              <w:right w:val="nil"/>
            </w:tcBorders>
            <w:shd w:val="clear" w:color="auto" w:fill="auto"/>
            <w:noWrap/>
            <w:vAlign w:val="center"/>
            <w:hideMark/>
          </w:tcPr>
          <w:p w14:paraId="3A8F664F" w14:textId="77777777" w:rsidR="00D4428E" w:rsidRPr="00ED0E0F" w:rsidRDefault="00D4428E" w:rsidP="003E4D50">
            <w:pPr>
              <w:rPr>
                <w:rFonts w:eastAsia="Times New Roman"/>
                <w:color w:val="222222"/>
              </w:rPr>
            </w:pPr>
            <w:r w:rsidRPr="00ED0E0F">
              <w:rPr>
                <w:rFonts w:eastAsia="Times New Roman"/>
                <w:color w:val="222222"/>
              </w:rPr>
              <w:t>Professional, scientific, and management, and administrative and waste management services</w:t>
            </w:r>
          </w:p>
        </w:tc>
        <w:tc>
          <w:tcPr>
            <w:tcW w:w="1182" w:type="dxa"/>
            <w:tcBorders>
              <w:top w:val="nil"/>
              <w:left w:val="nil"/>
              <w:bottom w:val="nil"/>
              <w:right w:val="nil"/>
            </w:tcBorders>
            <w:shd w:val="clear" w:color="auto" w:fill="auto"/>
            <w:noWrap/>
            <w:vAlign w:val="center"/>
            <w:hideMark/>
          </w:tcPr>
          <w:p w14:paraId="2A54B014" w14:textId="77777777" w:rsidR="00D4428E" w:rsidRPr="00ED0E0F" w:rsidRDefault="00D4428E" w:rsidP="003E4D50">
            <w:pPr>
              <w:jc w:val="right"/>
              <w:rPr>
                <w:rFonts w:eastAsia="Times New Roman"/>
                <w:color w:val="222222"/>
              </w:rPr>
            </w:pPr>
            <w:r w:rsidRPr="00ED0E0F">
              <w:rPr>
                <w:rFonts w:eastAsia="Times New Roman"/>
                <w:color w:val="222222"/>
              </w:rPr>
              <w:t>119</w:t>
            </w:r>
          </w:p>
        </w:tc>
      </w:tr>
      <w:tr w:rsidR="00D4428E" w:rsidRPr="00ED0E0F" w14:paraId="4F2B0525" w14:textId="77777777" w:rsidTr="003E4D50">
        <w:trPr>
          <w:trHeight w:val="300"/>
        </w:trPr>
        <w:tc>
          <w:tcPr>
            <w:tcW w:w="7488" w:type="dxa"/>
            <w:tcBorders>
              <w:top w:val="nil"/>
              <w:left w:val="nil"/>
              <w:bottom w:val="nil"/>
              <w:right w:val="nil"/>
            </w:tcBorders>
            <w:shd w:val="clear" w:color="auto" w:fill="auto"/>
            <w:noWrap/>
            <w:vAlign w:val="center"/>
            <w:hideMark/>
          </w:tcPr>
          <w:p w14:paraId="5AEA3453" w14:textId="77777777" w:rsidR="00D4428E" w:rsidRPr="00ED0E0F" w:rsidRDefault="00D4428E" w:rsidP="003E4D50">
            <w:pPr>
              <w:rPr>
                <w:rFonts w:eastAsia="Times New Roman"/>
                <w:color w:val="222222"/>
              </w:rPr>
            </w:pPr>
            <w:r w:rsidRPr="00ED0E0F">
              <w:rPr>
                <w:rFonts w:eastAsia="Times New Roman"/>
                <w:color w:val="222222"/>
              </w:rPr>
              <w:t>Educational services, and health care and social assistance</w:t>
            </w:r>
          </w:p>
        </w:tc>
        <w:tc>
          <w:tcPr>
            <w:tcW w:w="1182" w:type="dxa"/>
            <w:tcBorders>
              <w:top w:val="nil"/>
              <w:left w:val="nil"/>
              <w:bottom w:val="nil"/>
              <w:right w:val="nil"/>
            </w:tcBorders>
            <w:shd w:val="clear" w:color="auto" w:fill="auto"/>
            <w:noWrap/>
            <w:vAlign w:val="center"/>
            <w:hideMark/>
          </w:tcPr>
          <w:p w14:paraId="65E64D29" w14:textId="77777777" w:rsidR="00D4428E" w:rsidRPr="00ED0E0F" w:rsidRDefault="00D4428E" w:rsidP="003E4D50">
            <w:pPr>
              <w:jc w:val="right"/>
              <w:rPr>
                <w:rFonts w:eastAsia="Times New Roman"/>
                <w:color w:val="222222"/>
              </w:rPr>
            </w:pPr>
            <w:r w:rsidRPr="00ED0E0F">
              <w:rPr>
                <w:rFonts w:eastAsia="Times New Roman"/>
                <w:color w:val="222222"/>
              </w:rPr>
              <w:t>1,548</w:t>
            </w:r>
          </w:p>
        </w:tc>
      </w:tr>
      <w:tr w:rsidR="00D4428E" w:rsidRPr="00ED0E0F" w14:paraId="41DF0691" w14:textId="77777777" w:rsidTr="003E4D50">
        <w:trPr>
          <w:trHeight w:val="300"/>
        </w:trPr>
        <w:tc>
          <w:tcPr>
            <w:tcW w:w="7488" w:type="dxa"/>
            <w:tcBorders>
              <w:top w:val="nil"/>
              <w:left w:val="nil"/>
              <w:bottom w:val="nil"/>
              <w:right w:val="nil"/>
            </w:tcBorders>
            <w:shd w:val="clear" w:color="auto" w:fill="auto"/>
            <w:noWrap/>
            <w:vAlign w:val="center"/>
            <w:hideMark/>
          </w:tcPr>
          <w:p w14:paraId="407141D2" w14:textId="77777777" w:rsidR="00D4428E" w:rsidRPr="00ED0E0F" w:rsidRDefault="00D4428E" w:rsidP="003E4D50">
            <w:pPr>
              <w:rPr>
                <w:rFonts w:eastAsia="Times New Roman"/>
                <w:color w:val="222222"/>
              </w:rPr>
            </w:pPr>
            <w:r w:rsidRPr="00ED0E0F">
              <w:rPr>
                <w:rFonts w:eastAsia="Times New Roman"/>
                <w:color w:val="222222"/>
              </w:rPr>
              <w:t>Arts, entertainment, and recreation, and accommodation and food services</w:t>
            </w:r>
          </w:p>
        </w:tc>
        <w:tc>
          <w:tcPr>
            <w:tcW w:w="1182" w:type="dxa"/>
            <w:tcBorders>
              <w:top w:val="nil"/>
              <w:left w:val="nil"/>
              <w:bottom w:val="nil"/>
              <w:right w:val="nil"/>
            </w:tcBorders>
            <w:shd w:val="clear" w:color="auto" w:fill="auto"/>
            <w:noWrap/>
            <w:vAlign w:val="center"/>
            <w:hideMark/>
          </w:tcPr>
          <w:p w14:paraId="53F6E5E9" w14:textId="77777777" w:rsidR="00D4428E" w:rsidRPr="00ED0E0F" w:rsidRDefault="00D4428E" w:rsidP="003E4D50">
            <w:pPr>
              <w:jc w:val="right"/>
              <w:rPr>
                <w:rFonts w:eastAsia="Times New Roman"/>
                <w:color w:val="222222"/>
              </w:rPr>
            </w:pPr>
            <w:r w:rsidRPr="00ED0E0F">
              <w:rPr>
                <w:rFonts w:eastAsia="Times New Roman"/>
                <w:color w:val="222222"/>
              </w:rPr>
              <w:t>171</w:t>
            </w:r>
          </w:p>
        </w:tc>
      </w:tr>
      <w:tr w:rsidR="00D4428E" w:rsidRPr="00ED0E0F" w14:paraId="647C5540" w14:textId="77777777" w:rsidTr="003E4D50">
        <w:trPr>
          <w:trHeight w:val="300"/>
        </w:trPr>
        <w:tc>
          <w:tcPr>
            <w:tcW w:w="7488" w:type="dxa"/>
            <w:tcBorders>
              <w:top w:val="nil"/>
              <w:left w:val="nil"/>
              <w:bottom w:val="nil"/>
              <w:right w:val="nil"/>
            </w:tcBorders>
            <w:shd w:val="clear" w:color="auto" w:fill="auto"/>
            <w:noWrap/>
            <w:vAlign w:val="center"/>
            <w:hideMark/>
          </w:tcPr>
          <w:p w14:paraId="240BCA3C" w14:textId="77777777" w:rsidR="00D4428E" w:rsidRPr="00ED0E0F" w:rsidRDefault="00D4428E" w:rsidP="003E4D50">
            <w:pPr>
              <w:rPr>
                <w:rFonts w:eastAsia="Times New Roman"/>
                <w:color w:val="222222"/>
              </w:rPr>
            </w:pPr>
            <w:r w:rsidRPr="00ED0E0F">
              <w:rPr>
                <w:rFonts w:eastAsia="Times New Roman"/>
                <w:color w:val="222222"/>
              </w:rPr>
              <w:t>Other services, except public administration</w:t>
            </w:r>
          </w:p>
        </w:tc>
        <w:tc>
          <w:tcPr>
            <w:tcW w:w="1182" w:type="dxa"/>
            <w:tcBorders>
              <w:top w:val="nil"/>
              <w:left w:val="nil"/>
              <w:bottom w:val="nil"/>
              <w:right w:val="nil"/>
            </w:tcBorders>
            <w:shd w:val="clear" w:color="auto" w:fill="auto"/>
            <w:noWrap/>
            <w:vAlign w:val="center"/>
            <w:hideMark/>
          </w:tcPr>
          <w:p w14:paraId="735A264D" w14:textId="77777777" w:rsidR="00D4428E" w:rsidRPr="00ED0E0F" w:rsidRDefault="00D4428E" w:rsidP="003E4D50">
            <w:pPr>
              <w:jc w:val="right"/>
              <w:rPr>
                <w:rFonts w:eastAsia="Times New Roman"/>
                <w:color w:val="222222"/>
              </w:rPr>
            </w:pPr>
            <w:r w:rsidRPr="00ED0E0F">
              <w:rPr>
                <w:rFonts w:eastAsia="Times New Roman"/>
                <w:color w:val="222222"/>
              </w:rPr>
              <w:t>83</w:t>
            </w:r>
          </w:p>
        </w:tc>
      </w:tr>
      <w:tr w:rsidR="00D4428E" w:rsidRPr="00ED0E0F" w14:paraId="39F4E492" w14:textId="77777777" w:rsidTr="003E4D50">
        <w:trPr>
          <w:trHeight w:val="300"/>
        </w:trPr>
        <w:tc>
          <w:tcPr>
            <w:tcW w:w="7488" w:type="dxa"/>
            <w:tcBorders>
              <w:top w:val="nil"/>
              <w:left w:val="nil"/>
              <w:bottom w:val="nil"/>
              <w:right w:val="nil"/>
            </w:tcBorders>
            <w:shd w:val="clear" w:color="auto" w:fill="auto"/>
            <w:noWrap/>
            <w:vAlign w:val="center"/>
            <w:hideMark/>
          </w:tcPr>
          <w:p w14:paraId="10DF6D11" w14:textId="77777777" w:rsidR="00D4428E" w:rsidRPr="00ED0E0F" w:rsidRDefault="00D4428E" w:rsidP="003E4D50">
            <w:pPr>
              <w:rPr>
                <w:rFonts w:eastAsia="Times New Roman"/>
                <w:color w:val="222222"/>
              </w:rPr>
            </w:pPr>
            <w:r w:rsidRPr="00ED0E0F">
              <w:rPr>
                <w:rFonts w:eastAsia="Times New Roman"/>
                <w:color w:val="222222"/>
              </w:rPr>
              <w:t>Public administration</w:t>
            </w:r>
          </w:p>
        </w:tc>
        <w:tc>
          <w:tcPr>
            <w:tcW w:w="1182" w:type="dxa"/>
            <w:tcBorders>
              <w:top w:val="nil"/>
              <w:left w:val="nil"/>
              <w:bottom w:val="nil"/>
              <w:right w:val="nil"/>
            </w:tcBorders>
            <w:shd w:val="clear" w:color="auto" w:fill="auto"/>
            <w:noWrap/>
            <w:vAlign w:val="center"/>
            <w:hideMark/>
          </w:tcPr>
          <w:p w14:paraId="6667DF78" w14:textId="77777777" w:rsidR="00D4428E" w:rsidRPr="00ED0E0F" w:rsidRDefault="00D4428E" w:rsidP="003E4D50">
            <w:pPr>
              <w:jc w:val="right"/>
              <w:rPr>
                <w:rFonts w:eastAsia="Times New Roman"/>
                <w:color w:val="222222"/>
              </w:rPr>
            </w:pPr>
            <w:r w:rsidRPr="00ED0E0F">
              <w:rPr>
                <w:rFonts w:eastAsia="Times New Roman"/>
                <w:color w:val="222222"/>
              </w:rPr>
              <w:t>85</w:t>
            </w:r>
          </w:p>
        </w:tc>
      </w:tr>
    </w:tbl>
    <w:p w14:paraId="02F1970D" w14:textId="77777777" w:rsidR="00D4428E" w:rsidRPr="00ED0E0F" w:rsidRDefault="00D4428E" w:rsidP="00D4428E">
      <w:pPr>
        <w:rPr>
          <w:b/>
        </w:rPr>
      </w:pPr>
    </w:p>
    <w:p w14:paraId="093C7151" w14:textId="77777777" w:rsidR="00D4428E" w:rsidRPr="00ED0E0F" w:rsidRDefault="00D4428E" w:rsidP="00D4428E">
      <w:pPr>
        <w:rPr>
          <w:b/>
        </w:rPr>
      </w:pPr>
    </w:p>
    <w:p w14:paraId="6ED3EE9E" w14:textId="77777777" w:rsidR="00D4428E" w:rsidRPr="00ED0E0F" w:rsidRDefault="00D4428E" w:rsidP="00D4428E">
      <w:pPr>
        <w:rPr>
          <w:b/>
        </w:rPr>
      </w:pPr>
    </w:p>
    <w:p w14:paraId="53760B17" w14:textId="77777777" w:rsidR="00D4428E" w:rsidRPr="00ED0E0F" w:rsidRDefault="00D4428E" w:rsidP="00D4428E">
      <w:pPr>
        <w:rPr>
          <w:b/>
        </w:rPr>
      </w:pPr>
    </w:p>
    <w:p w14:paraId="72944B0B" w14:textId="77777777" w:rsidR="00D4428E" w:rsidRPr="00ED0E0F" w:rsidRDefault="00D4428E" w:rsidP="00D4428E">
      <w:pPr>
        <w:rPr>
          <w:b/>
        </w:rPr>
      </w:pPr>
      <w:r w:rsidRPr="00ED0E0F">
        <w:rPr>
          <w:b/>
        </w:rPr>
        <w:t>Table 9: Housing Occupancy in Morris City 2010</w:t>
      </w:r>
    </w:p>
    <w:p w14:paraId="3E0FCF18" w14:textId="77777777" w:rsidR="00D4428E" w:rsidRPr="00ED0E0F" w:rsidRDefault="00D4428E" w:rsidP="00D4428E"/>
    <w:tbl>
      <w:tblPr>
        <w:tblW w:w="6706" w:type="dxa"/>
        <w:tblInd w:w="93" w:type="dxa"/>
        <w:tblLook w:val="04A0" w:firstRow="1" w:lastRow="0" w:firstColumn="1" w:lastColumn="0" w:noHBand="0" w:noVBand="1"/>
      </w:tblPr>
      <w:tblGrid>
        <w:gridCol w:w="5406"/>
        <w:gridCol w:w="1300"/>
      </w:tblGrid>
      <w:tr w:rsidR="00D4428E" w:rsidRPr="00ED0E0F" w14:paraId="77A521ED" w14:textId="77777777" w:rsidTr="003E4D50">
        <w:trPr>
          <w:trHeight w:val="300"/>
        </w:trPr>
        <w:tc>
          <w:tcPr>
            <w:tcW w:w="5406" w:type="dxa"/>
            <w:tcBorders>
              <w:top w:val="nil"/>
              <w:left w:val="nil"/>
              <w:bottom w:val="nil"/>
              <w:right w:val="nil"/>
            </w:tcBorders>
            <w:shd w:val="clear" w:color="auto" w:fill="auto"/>
            <w:noWrap/>
            <w:vAlign w:val="bottom"/>
            <w:hideMark/>
          </w:tcPr>
          <w:p w14:paraId="7F88AD59" w14:textId="77777777" w:rsidR="00D4428E" w:rsidRPr="00ED0E0F" w:rsidRDefault="00D4428E" w:rsidP="003E4D50">
            <w:pPr>
              <w:jc w:val="both"/>
              <w:rPr>
                <w:rFonts w:eastAsia="Times New Roman"/>
                <w:color w:val="000000"/>
              </w:rPr>
            </w:pPr>
            <w:r w:rsidRPr="00ED0E0F">
              <w:rPr>
                <w:rFonts w:eastAsia="Times New Roman"/>
                <w:color w:val="000000"/>
              </w:rPr>
              <w:t>Occupied housing units</w:t>
            </w:r>
          </w:p>
        </w:tc>
        <w:tc>
          <w:tcPr>
            <w:tcW w:w="1300" w:type="dxa"/>
            <w:tcBorders>
              <w:top w:val="nil"/>
              <w:left w:val="nil"/>
              <w:bottom w:val="nil"/>
              <w:right w:val="nil"/>
            </w:tcBorders>
            <w:shd w:val="clear" w:color="auto" w:fill="auto"/>
            <w:noWrap/>
            <w:vAlign w:val="bottom"/>
            <w:hideMark/>
          </w:tcPr>
          <w:p w14:paraId="396F232C" w14:textId="77777777" w:rsidR="00D4428E" w:rsidRPr="00ED0E0F" w:rsidRDefault="00D4428E" w:rsidP="003E4D50">
            <w:pPr>
              <w:jc w:val="right"/>
              <w:rPr>
                <w:rFonts w:eastAsia="Times New Roman"/>
                <w:color w:val="000000"/>
              </w:rPr>
            </w:pPr>
            <w:r w:rsidRPr="00ED0E0F">
              <w:rPr>
                <w:rFonts w:eastAsia="Times New Roman"/>
                <w:color w:val="000000"/>
              </w:rPr>
              <w:t>1986</w:t>
            </w:r>
          </w:p>
        </w:tc>
      </w:tr>
      <w:tr w:rsidR="00D4428E" w:rsidRPr="00ED0E0F" w14:paraId="0ECDCCD0" w14:textId="77777777" w:rsidTr="003E4D50">
        <w:trPr>
          <w:trHeight w:val="300"/>
        </w:trPr>
        <w:tc>
          <w:tcPr>
            <w:tcW w:w="5406" w:type="dxa"/>
            <w:tcBorders>
              <w:top w:val="nil"/>
              <w:left w:val="nil"/>
              <w:bottom w:val="nil"/>
              <w:right w:val="nil"/>
            </w:tcBorders>
            <w:shd w:val="clear" w:color="auto" w:fill="auto"/>
            <w:noWrap/>
            <w:vAlign w:val="bottom"/>
            <w:hideMark/>
          </w:tcPr>
          <w:p w14:paraId="1513843A" w14:textId="77777777" w:rsidR="00D4428E" w:rsidRPr="00ED0E0F" w:rsidRDefault="00D4428E" w:rsidP="003E4D50">
            <w:pPr>
              <w:jc w:val="both"/>
              <w:rPr>
                <w:rFonts w:eastAsia="Times New Roman"/>
                <w:color w:val="000000"/>
              </w:rPr>
            </w:pPr>
            <w:r w:rsidRPr="00ED0E0F">
              <w:rPr>
                <w:rFonts w:eastAsia="Times New Roman"/>
                <w:color w:val="000000"/>
              </w:rPr>
              <w:t>Vacant housing units</w:t>
            </w:r>
          </w:p>
        </w:tc>
        <w:tc>
          <w:tcPr>
            <w:tcW w:w="1300" w:type="dxa"/>
            <w:tcBorders>
              <w:top w:val="nil"/>
              <w:left w:val="nil"/>
              <w:bottom w:val="nil"/>
              <w:right w:val="nil"/>
            </w:tcBorders>
            <w:shd w:val="clear" w:color="auto" w:fill="auto"/>
            <w:noWrap/>
            <w:vAlign w:val="bottom"/>
            <w:hideMark/>
          </w:tcPr>
          <w:p w14:paraId="28C453C1" w14:textId="77777777" w:rsidR="00D4428E" w:rsidRPr="00ED0E0F" w:rsidRDefault="00D4428E" w:rsidP="003E4D50">
            <w:pPr>
              <w:jc w:val="right"/>
              <w:rPr>
                <w:rFonts w:eastAsia="Times New Roman"/>
                <w:color w:val="000000"/>
              </w:rPr>
            </w:pPr>
            <w:r w:rsidRPr="00ED0E0F">
              <w:rPr>
                <w:rFonts w:eastAsia="Times New Roman"/>
                <w:color w:val="000000"/>
              </w:rPr>
              <w:t>213</w:t>
            </w:r>
          </w:p>
        </w:tc>
      </w:tr>
      <w:tr w:rsidR="00D4428E" w:rsidRPr="00ED0E0F" w14:paraId="378B1561" w14:textId="77777777" w:rsidTr="003E4D50">
        <w:trPr>
          <w:trHeight w:val="300"/>
        </w:trPr>
        <w:tc>
          <w:tcPr>
            <w:tcW w:w="5406" w:type="dxa"/>
            <w:tcBorders>
              <w:top w:val="nil"/>
              <w:left w:val="nil"/>
              <w:bottom w:val="nil"/>
              <w:right w:val="nil"/>
            </w:tcBorders>
            <w:shd w:val="clear" w:color="auto" w:fill="auto"/>
            <w:noWrap/>
            <w:vAlign w:val="bottom"/>
            <w:hideMark/>
          </w:tcPr>
          <w:p w14:paraId="0836F5CC" w14:textId="77777777" w:rsidR="00D4428E" w:rsidRPr="00ED0E0F" w:rsidRDefault="00D4428E" w:rsidP="003E4D50">
            <w:pPr>
              <w:jc w:val="both"/>
              <w:rPr>
                <w:rFonts w:eastAsia="Times New Roman"/>
                <w:color w:val="000000"/>
              </w:rPr>
            </w:pPr>
            <w:r w:rsidRPr="00ED0E0F">
              <w:rPr>
                <w:rFonts w:eastAsia="Times New Roman"/>
                <w:color w:val="000000"/>
              </w:rPr>
              <w:t>Vacant-For rent</w:t>
            </w:r>
          </w:p>
        </w:tc>
        <w:tc>
          <w:tcPr>
            <w:tcW w:w="1300" w:type="dxa"/>
            <w:tcBorders>
              <w:top w:val="nil"/>
              <w:left w:val="nil"/>
              <w:bottom w:val="nil"/>
              <w:right w:val="nil"/>
            </w:tcBorders>
            <w:shd w:val="clear" w:color="auto" w:fill="auto"/>
            <w:noWrap/>
            <w:vAlign w:val="bottom"/>
            <w:hideMark/>
          </w:tcPr>
          <w:p w14:paraId="3F80495C" w14:textId="77777777" w:rsidR="00D4428E" w:rsidRPr="00ED0E0F" w:rsidRDefault="00D4428E" w:rsidP="003E4D50">
            <w:pPr>
              <w:jc w:val="right"/>
              <w:rPr>
                <w:rFonts w:eastAsia="Times New Roman"/>
                <w:color w:val="000000"/>
              </w:rPr>
            </w:pPr>
            <w:r w:rsidRPr="00ED0E0F">
              <w:rPr>
                <w:rFonts w:eastAsia="Times New Roman"/>
                <w:color w:val="000000"/>
              </w:rPr>
              <w:t>81</w:t>
            </w:r>
          </w:p>
        </w:tc>
      </w:tr>
      <w:tr w:rsidR="00D4428E" w:rsidRPr="00ED0E0F" w14:paraId="377369E3" w14:textId="77777777" w:rsidTr="003E4D50">
        <w:trPr>
          <w:trHeight w:val="300"/>
        </w:trPr>
        <w:tc>
          <w:tcPr>
            <w:tcW w:w="5406" w:type="dxa"/>
            <w:tcBorders>
              <w:top w:val="nil"/>
              <w:left w:val="nil"/>
              <w:bottom w:val="nil"/>
              <w:right w:val="nil"/>
            </w:tcBorders>
            <w:shd w:val="clear" w:color="auto" w:fill="auto"/>
            <w:noWrap/>
            <w:vAlign w:val="bottom"/>
            <w:hideMark/>
          </w:tcPr>
          <w:p w14:paraId="6DC00499" w14:textId="77777777" w:rsidR="00D4428E" w:rsidRPr="00ED0E0F" w:rsidRDefault="00D4428E" w:rsidP="003E4D50">
            <w:pPr>
              <w:jc w:val="both"/>
              <w:rPr>
                <w:rFonts w:eastAsia="Times New Roman"/>
                <w:color w:val="000000"/>
              </w:rPr>
            </w:pPr>
            <w:r w:rsidRPr="00ED0E0F">
              <w:rPr>
                <w:rFonts w:eastAsia="Times New Roman"/>
                <w:color w:val="000000"/>
              </w:rPr>
              <w:t>Vacant-Rented, not occupied</w:t>
            </w:r>
          </w:p>
        </w:tc>
        <w:tc>
          <w:tcPr>
            <w:tcW w:w="1300" w:type="dxa"/>
            <w:tcBorders>
              <w:top w:val="nil"/>
              <w:left w:val="nil"/>
              <w:bottom w:val="nil"/>
              <w:right w:val="nil"/>
            </w:tcBorders>
            <w:shd w:val="clear" w:color="auto" w:fill="auto"/>
            <w:noWrap/>
            <w:vAlign w:val="bottom"/>
            <w:hideMark/>
          </w:tcPr>
          <w:p w14:paraId="7A7D6407" w14:textId="77777777" w:rsidR="00D4428E" w:rsidRPr="00ED0E0F" w:rsidRDefault="00D4428E" w:rsidP="003E4D50">
            <w:pPr>
              <w:jc w:val="right"/>
              <w:rPr>
                <w:rFonts w:eastAsia="Times New Roman"/>
                <w:color w:val="000000"/>
              </w:rPr>
            </w:pPr>
            <w:r w:rsidRPr="00ED0E0F">
              <w:rPr>
                <w:rFonts w:eastAsia="Times New Roman"/>
                <w:color w:val="000000"/>
              </w:rPr>
              <w:t>1</w:t>
            </w:r>
          </w:p>
        </w:tc>
      </w:tr>
      <w:tr w:rsidR="00D4428E" w:rsidRPr="00ED0E0F" w14:paraId="4114F9F6" w14:textId="77777777" w:rsidTr="003E4D50">
        <w:trPr>
          <w:trHeight w:val="300"/>
        </w:trPr>
        <w:tc>
          <w:tcPr>
            <w:tcW w:w="5406" w:type="dxa"/>
            <w:tcBorders>
              <w:top w:val="nil"/>
              <w:left w:val="nil"/>
              <w:bottom w:val="nil"/>
              <w:right w:val="nil"/>
            </w:tcBorders>
            <w:shd w:val="clear" w:color="auto" w:fill="auto"/>
            <w:noWrap/>
            <w:vAlign w:val="bottom"/>
            <w:hideMark/>
          </w:tcPr>
          <w:p w14:paraId="61B2015B" w14:textId="77777777" w:rsidR="00D4428E" w:rsidRPr="00ED0E0F" w:rsidRDefault="00D4428E" w:rsidP="003E4D50">
            <w:pPr>
              <w:jc w:val="both"/>
              <w:rPr>
                <w:rFonts w:eastAsia="Times New Roman"/>
                <w:color w:val="000000"/>
              </w:rPr>
            </w:pPr>
            <w:r w:rsidRPr="00ED0E0F">
              <w:rPr>
                <w:rFonts w:eastAsia="Times New Roman"/>
                <w:color w:val="000000"/>
              </w:rPr>
              <w:t>Vacant-For sale only</w:t>
            </w:r>
          </w:p>
        </w:tc>
        <w:tc>
          <w:tcPr>
            <w:tcW w:w="1300" w:type="dxa"/>
            <w:tcBorders>
              <w:top w:val="nil"/>
              <w:left w:val="nil"/>
              <w:bottom w:val="nil"/>
              <w:right w:val="nil"/>
            </w:tcBorders>
            <w:shd w:val="clear" w:color="auto" w:fill="auto"/>
            <w:noWrap/>
            <w:vAlign w:val="bottom"/>
            <w:hideMark/>
          </w:tcPr>
          <w:p w14:paraId="04EADC60" w14:textId="77777777" w:rsidR="00D4428E" w:rsidRPr="00ED0E0F" w:rsidRDefault="00D4428E" w:rsidP="003E4D50">
            <w:pPr>
              <w:jc w:val="right"/>
              <w:rPr>
                <w:rFonts w:eastAsia="Times New Roman"/>
                <w:color w:val="000000"/>
              </w:rPr>
            </w:pPr>
            <w:r w:rsidRPr="00ED0E0F">
              <w:rPr>
                <w:rFonts w:eastAsia="Times New Roman"/>
                <w:color w:val="000000"/>
              </w:rPr>
              <w:t>37</w:t>
            </w:r>
          </w:p>
        </w:tc>
      </w:tr>
      <w:tr w:rsidR="00D4428E" w:rsidRPr="00ED0E0F" w14:paraId="3C3780A6" w14:textId="77777777" w:rsidTr="003E4D50">
        <w:trPr>
          <w:trHeight w:val="300"/>
        </w:trPr>
        <w:tc>
          <w:tcPr>
            <w:tcW w:w="5406" w:type="dxa"/>
            <w:tcBorders>
              <w:top w:val="nil"/>
              <w:left w:val="nil"/>
              <w:bottom w:val="nil"/>
              <w:right w:val="nil"/>
            </w:tcBorders>
            <w:shd w:val="clear" w:color="auto" w:fill="auto"/>
            <w:noWrap/>
            <w:vAlign w:val="bottom"/>
            <w:hideMark/>
          </w:tcPr>
          <w:p w14:paraId="5CC616DA" w14:textId="77777777" w:rsidR="00D4428E" w:rsidRPr="00ED0E0F" w:rsidRDefault="00D4428E" w:rsidP="003E4D50">
            <w:pPr>
              <w:jc w:val="both"/>
              <w:rPr>
                <w:rFonts w:eastAsia="Times New Roman"/>
                <w:color w:val="000000"/>
              </w:rPr>
            </w:pPr>
            <w:r w:rsidRPr="00ED0E0F">
              <w:rPr>
                <w:rFonts w:eastAsia="Times New Roman"/>
                <w:color w:val="000000"/>
              </w:rPr>
              <w:t>Vacant- Sold, not occupied</w:t>
            </w:r>
          </w:p>
        </w:tc>
        <w:tc>
          <w:tcPr>
            <w:tcW w:w="1300" w:type="dxa"/>
            <w:tcBorders>
              <w:top w:val="nil"/>
              <w:left w:val="nil"/>
              <w:bottom w:val="nil"/>
              <w:right w:val="nil"/>
            </w:tcBorders>
            <w:shd w:val="clear" w:color="auto" w:fill="auto"/>
            <w:noWrap/>
            <w:vAlign w:val="bottom"/>
            <w:hideMark/>
          </w:tcPr>
          <w:p w14:paraId="366783C9" w14:textId="77777777" w:rsidR="00D4428E" w:rsidRPr="00ED0E0F" w:rsidRDefault="00D4428E" w:rsidP="003E4D50">
            <w:pPr>
              <w:jc w:val="right"/>
              <w:rPr>
                <w:rFonts w:eastAsia="Times New Roman"/>
                <w:color w:val="000000"/>
              </w:rPr>
            </w:pPr>
            <w:r w:rsidRPr="00ED0E0F">
              <w:rPr>
                <w:rFonts w:eastAsia="Times New Roman"/>
                <w:color w:val="000000"/>
              </w:rPr>
              <w:t>8</w:t>
            </w:r>
          </w:p>
        </w:tc>
      </w:tr>
      <w:tr w:rsidR="00D4428E" w:rsidRPr="00ED0E0F" w14:paraId="307751BD" w14:textId="77777777" w:rsidTr="003E4D50">
        <w:trPr>
          <w:trHeight w:val="300"/>
        </w:trPr>
        <w:tc>
          <w:tcPr>
            <w:tcW w:w="5406" w:type="dxa"/>
            <w:tcBorders>
              <w:top w:val="nil"/>
              <w:left w:val="nil"/>
              <w:bottom w:val="nil"/>
              <w:right w:val="nil"/>
            </w:tcBorders>
            <w:shd w:val="clear" w:color="auto" w:fill="auto"/>
            <w:noWrap/>
            <w:vAlign w:val="bottom"/>
            <w:hideMark/>
          </w:tcPr>
          <w:p w14:paraId="384F36D9" w14:textId="77777777" w:rsidR="00D4428E" w:rsidRPr="00ED0E0F" w:rsidRDefault="00D4428E" w:rsidP="003E4D50">
            <w:pPr>
              <w:jc w:val="both"/>
              <w:rPr>
                <w:rFonts w:eastAsia="Times New Roman"/>
                <w:color w:val="000000"/>
              </w:rPr>
            </w:pPr>
            <w:r w:rsidRPr="00ED0E0F">
              <w:rPr>
                <w:rFonts w:eastAsia="Times New Roman"/>
                <w:color w:val="000000"/>
              </w:rPr>
              <w:t>Vacant-For seasonal, recreational, or occasional use</w:t>
            </w:r>
          </w:p>
        </w:tc>
        <w:tc>
          <w:tcPr>
            <w:tcW w:w="1300" w:type="dxa"/>
            <w:tcBorders>
              <w:top w:val="nil"/>
              <w:left w:val="nil"/>
              <w:bottom w:val="nil"/>
              <w:right w:val="nil"/>
            </w:tcBorders>
            <w:shd w:val="clear" w:color="auto" w:fill="auto"/>
            <w:noWrap/>
            <w:vAlign w:val="bottom"/>
            <w:hideMark/>
          </w:tcPr>
          <w:p w14:paraId="51F7F4CE" w14:textId="77777777" w:rsidR="00D4428E" w:rsidRPr="00ED0E0F" w:rsidRDefault="00D4428E" w:rsidP="003E4D50">
            <w:pPr>
              <w:jc w:val="right"/>
              <w:rPr>
                <w:rFonts w:eastAsia="Times New Roman"/>
                <w:color w:val="000000"/>
              </w:rPr>
            </w:pPr>
            <w:r w:rsidRPr="00ED0E0F">
              <w:rPr>
                <w:rFonts w:eastAsia="Times New Roman"/>
                <w:color w:val="000000"/>
              </w:rPr>
              <w:t>22</w:t>
            </w:r>
          </w:p>
        </w:tc>
      </w:tr>
      <w:tr w:rsidR="00D4428E" w:rsidRPr="00ED0E0F" w14:paraId="25FA7574" w14:textId="77777777" w:rsidTr="003E4D50">
        <w:trPr>
          <w:trHeight w:val="300"/>
        </w:trPr>
        <w:tc>
          <w:tcPr>
            <w:tcW w:w="5406" w:type="dxa"/>
            <w:tcBorders>
              <w:top w:val="nil"/>
              <w:left w:val="nil"/>
              <w:bottom w:val="nil"/>
              <w:right w:val="nil"/>
            </w:tcBorders>
            <w:shd w:val="clear" w:color="auto" w:fill="auto"/>
            <w:noWrap/>
            <w:vAlign w:val="bottom"/>
            <w:hideMark/>
          </w:tcPr>
          <w:p w14:paraId="6C877D66" w14:textId="77777777" w:rsidR="00D4428E" w:rsidRPr="00ED0E0F" w:rsidRDefault="00D4428E" w:rsidP="003E4D50">
            <w:pPr>
              <w:jc w:val="both"/>
              <w:rPr>
                <w:rFonts w:eastAsia="Times New Roman"/>
                <w:color w:val="000000"/>
              </w:rPr>
            </w:pPr>
            <w:r w:rsidRPr="00ED0E0F">
              <w:rPr>
                <w:rFonts w:eastAsia="Times New Roman"/>
                <w:color w:val="000000"/>
              </w:rPr>
              <w:t xml:space="preserve">All other </w:t>
            </w:r>
            <w:proofErr w:type="spellStart"/>
            <w:r w:rsidRPr="00ED0E0F">
              <w:rPr>
                <w:rFonts w:eastAsia="Times New Roman"/>
                <w:color w:val="000000"/>
              </w:rPr>
              <w:t>vacants</w:t>
            </w:r>
            <w:proofErr w:type="spellEnd"/>
          </w:p>
        </w:tc>
        <w:tc>
          <w:tcPr>
            <w:tcW w:w="1300" w:type="dxa"/>
            <w:tcBorders>
              <w:top w:val="nil"/>
              <w:left w:val="nil"/>
              <w:bottom w:val="nil"/>
              <w:right w:val="nil"/>
            </w:tcBorders>
            <w:shd w:val="clear" w:color="auto" w:fill="auto"/>
            <w:noWrap/>
            <w:vAlign w:val="bottom"/>
            <w:hideMark/>
          </w:tcPr>
          <w:p w14:paraId="24E2A5AC" w14:textId="77777777" w:rsidR="00D4428E" w:rsidRPr="00ED0E0F" w:rsidRDefault="00D4428E" w:rsidP="003E4D50">
            <w:pPr>
              <w:jc w:val="right"/>
              <w:rPr>
                <w:rFonts w:eastAsia="Times New Roman"/>
                <w:color w:val="000000"/>
              </w:rPr>
            </w:pPr>
            <w:r w:rsidRPr="00ED0E0F">
              <w:rPr>
                <w:rFonts w:eastAsia="Times New Roman"/>
                <w:color w:val="000000"/>
              </w:rPr>
              <w:t>64</w:t>
            </w:r>
          </w:p>
        </w:tc>
      </w:tr>
    </w:tbl>
    <w:p w14:paraId="14789EF0" w14:textId="77777777" w:rsidR="00D4428E" w:rsidRPr="00ED0E0F" w:rsidRDefault="00D4428E" w:rsidP="00D4428E"/>
    <w:p w14:paraId="72760EB6" w14:textId="77777777" w:rsidR="00D4428E" w:rsidRPr="00ED0E0F" w:rsidRDefault="00D4428E" w:rsidP="00D4428E">
      <w:pPr>
        <w:rPr>
          <w:b/>
        </w:rPr>
      </w:pPr>
      <w:r w:rsidRPr="00ED0E0F">
        <w:rPr>
          <w:b/>
        </w:rPr>
        <w:t>Table 10: Morris Area Housing Values</w:t>
      </w:r>
    </w:p>
    <w:tbl>
      <w:tblPr>
        <w:tblW w:w="7479" w:type="dxa"/>
        <w:tblInd w:w="93" w:type="dxa"/>
        <w:tblLook w:val="04A0" w:firstRow="1" w:lastRow="0" w:firstColumn="1" w:lastColumn="0" w:noHBand="0" w:noVBand="1"/>
      </w:tblPr>
      <w:tblGrid>
        <w:gridCol w:w="2666"/>
        <w:gridCol w:w="1652"/>
        <w:gridCol w:w="1627"/>
        <w:gridCol w:w="1534"/>
      </w:tblGrid>
      <w:tr w:rsidR="00D4428E" w:rsidRPr="00ED0E0F" w14:paraId="22C511C2" w14:textId="77777777" w:rsidTr="003E4D50">
        <w:trPr>
          <w:trHeight w:val="323"/>
        </w:trPr>
        <w:tc>
          <w:tcPr>
            <w:tcW w:w="2666" w:type="dxa"/>
            <w:tcBorders>
              <w:top w:val="nil"/>
              <w:left w:val="nil"/>
              <w:bottom w:val="nil"/>
              <w:right w:val="nil"/>
            </w:tcBorders>
            <w:shd w:val="clear" w:color="auto" w:fill="auto"/>
            <w:noWrap/>
            <w:vAlign w:val="bottom"/>
            <w:hideMark/>
          </w:tcPr>
          <w:p w14:paraId="361F5ECB" w14:textId="77777777" w:rsidR="00D4428E" w:rsidRPr="00ED0E0F" w:rsidRDefault="00D4428E" w:rsidP="003E4D50">
            <w:pPr>
              <w:rPr>
                <w:rFonts w:eastAsia="Times New Roman"/>
                <w:color w:val="000000"/>
                <w:u w:val="single"/>
              </w:rPr>
            </w:pPr>
            <w:r w:rsidRPr="00ED0E0F">
              <w:rPr>
                <w:rFonts w:eastAsia="Times New Roman"/>
                <w:color w:val="000000"/>
                <w:u w:val="single"/>
              </w:rPr>
              <w:t>City</w:t>
            </w:r>
          </w:p>
        </w:tc>
        <w:tc>
          <w:tcPr>
            <w:tcW w:w="1652" w:type="dxa"/>
            <w:tcBorders>
              <w:top w:val="nil"/>
              <w:left w:val="nil"/>
              <w:bottom w:val="nil"/>
              <w:right w:val="nil"/>
            </w:tcBorders>
            <w:shd w:val="clear" w:color="auto" w:fill="auto"/>
            <w:noWrap/>
            <w:vAlign w:val="bottom"/>
            <w:hideMark/>
          </w:tcPr>
          <w:p w14:paraId="6C846331" w14:textId="77777777" w:rsidR="00D4428E" w:rsidRPr="00ED0E0F" w:rsidRDefault="00D4428E" w:rsidP="003E4D50">
            <w:pPr>
              <w:rPr>
                <w:rFonts w:eastAsia="Times New Roman"/>
                <w:color w:val="000000"/>
                <w:u w:val="single"/>
              </w:rPr>
            </w:pPr>
          </w:p>
          <w:p w14:paraId="2DDE39A6" w14:textId="77777777" w:rsidR="00D4428E" w:rsidRPr="00ED0E0F" w:rsidRDefault="00D4428E" w:rsidP="003E4D50">
            <w:pPr>
              <w:rPr>
                <w:rFonts w:eastAsia="Times New Roman"/>
                <w:color w:val="000000"/>
                <w:u w:val="single"/>
              </w:rPr>
            </w:pPr>
          </w:p>
          <w:p w14:paraId="4156700B" w14:textId="77777777" w:rsidR="00D4428E" w:rsidRPr="00ED0E0F" w:rsidRDefault="00D4428E" w:rsidP="003E4D50">
            <w:pPr>
              <w:rPr>
                <w:rFonts w:eastAsia="Times New Roman"/>
                <w:color w:val="000000"/>
                <w:u w:val="single"/>
              </w:rPr>
            </w:pPr>
            <w:r w:rsidRPr="00ED0E0F">
              <w:rPr>
                <w:rFonts w:eastAsia="Times New Roman"/>
                <w:color w:val="000000"/>
                <w:u w:val="single"/>
              </w:rPr>
              <w:t xml:space="preserve">2000 Median Value </w:t>
            </w:r>
          </w:p>
        </w:tc>
        <w:tc>
          <w:tcPr>
            <w:tcW w:w="1627" w:type="dxa"/>
            <w:tcBorders>
              <w:top w:val="nil"/>
              <w:left w:val="nil"/>
              <w:bottom w:val="nil"/>
              <w:right w:val="nil"/>
            </w:tcBorders>
            <w:shd w:val="clear" w:color="auto" w:fill="auto"/>
            <w:noWrap/>
            <w:vAlign w:val="bottom"/>
            <w:hideMark/>
          </w:tcPr>
          <w:p w14:paraId="2C152E90" w14:textId="77777777" w:rsidR="00D4428E" w:rsidRPr="00ED0E0F" w:rsidRDefault="00D4428E" w:rsidP="003E4D50">
            <w:pPr>
              <w:rPr>
                <w:rFonts w:eastAsia="Times New Roman"/>
                <w:color w:val="000000"/>
                <w:u w:val="single"/>
              </w:rPr>
            </w:pPr>
            <w:r w:rsidRPr="00ED0E0F">
              <w:rPr>
                <w:rFonts w:eastAsia="Times New Roman"/>
                <w:color w:val="000000"/>
                <w:u w:val="single"/>
              </w:rPr>
              <w:t xml:space="preserve">2010 Median Value </w:t>
            </w:r>
          </w:p>
        </w:tc>
        <w:tc>
          <w:tcPr>
            <w:tcW w:w="1534" w:type="dxa"/>
            <w:tcBorders>
              <w:top w:val="nil"/>
              <w:left w:val="nil"/>
              <w:bottom w:val="nil"/>
              <w:right w:val="nil"/>
            </w:tcBorders>
            <w:shd w:val="clear" w:color="auto" w:fill="auto"/>
            <w:noWrap/>
            <w:vAlign w:val="bottom"/>
            <w:hideMark/>
          </w:tcPr>
          <w:p w14:paraId="43A8189D" w14:textId="77777777" w:rsidR="00D4428E" w:rsidRPr="00ED0E0F" w:rsidRDefault="00D4428E" w:rsidP="003E4D50">
            <w:pPr>
              <w:rPr>
                <w:rFonts w:eastAsia="Times New Roman"/>
                <w:color w:val="000000"/>
                <w:u w:val="single"/>
              </w:rPr>
            </w:pPr>
            <w:r w:rsidRPr="00ED0E0F">
              <w:rPr>
                <w:rFonts w:eastAsia="Times New Roman"/>
                <w:color w:val="000000"/>
                <w:u w:val="single"/>
              </w:rPr>
              <w:t>Percent Change</w:t>
            </w:r>
          </w:p>
        </w:tc>
      </w:tr>
      <w:tr w:rsidR="00D4428E" w:rsidRPr="00ED0E0F" w14:paraId="12F27C0D" w14:textId="77777777" w:rsidTr="003E4D50">
        <w:trPr>
          <w:trHeight w:val="323"/>
        </w:trPr>
        <w:tc>
          <w:tcPr>
            <w:tcW w:w="2666" w:type="dxa"/>
            <w:tcBorders>
              <w:top w:val="nil"/>
              <w:left w:val="nil"/>
              <w:bottom w:val="nil"/>
              <w:right w:val="nil"/>
            </w:tcBorders>
            <w:shd w:val="clear" w:color="auto" w:fill="auto"/>
            <w:noWrap/>
            <w:vAlign w:val="bottom"/>
            <w:hideMark/>
          </w:tcPr>
          <w:p w14:paraId="7D470754" w14:textId="77777777" w:rsidR="00D4428E" w:rsidRPr="00ED0E0F" w:rsidRDefault="00D4428E" w:rsidP="003E4D50">
            <w:pPr>
              <w:rPr>
                <w:rFonts w:eastAsia="Times New Roman"/>
                <w:color w:val="000000"/>
              </w:rPr>
            </w:pPr>
            <w:r w:rsidRPr="00ED0E0F">
              <w:rPr>
                <w:rFonts w:eastAsia="Times New Roman"/>
                <w:color w:val="000000"/>
              </w:rPr>
              <w:t>Morris</w:t>
            </w:r>
          </w:p>
        </w:tc>
        <w:tc>
          <w:tcPr>
            <w:tcW w:w="1652" w:type="dxa"/>
            <w:tcBorders>
              <w:top w:val="nil"/>
              <w:left w:val="nil"/>
              <w:bottom w:val="nil"/>
              <w:right w:val="nil"/>
            </w:tcBorders>
            <w:shd w:val="clear" w:color="auto" w:fill="auto"/>
            <w:noWrap/>
            <w:vAlign w:val="bottom"/>
            <w:hideMark/>
          </w:tcPr>
          <w:p w14:paraId="28F12923" w14:textId="77777777" w:rsidR="00D4428E" w:rsidRPr="00ED0E0F" w:rsidRDefault="00D4428E" w:rsidP="003E4D50">
            <w:pPr>
              <w:rPr>
                <w:rFonts w:eastAsia="Times New Roman"/>
                <w:color w:val="000000"/>
              </w:rPr>
            </w:pPr>
            <w:r w:rsidRPr="00ED0E0F">
              <w:rPr>
                <w:rFonts w:eastAsia="Times New Roman"/>
                <w:color w:val="000000"/>
              </w:rPr>
              <w:t>70,900</w:t>
            </w:r>
          </w:p>
        </w:tc>
        <w:tc>
          <w:tcPr>
            <w:tcW w:w="1627" w:type="dxa"/>
            <w:tcBorders>
              <w:top w:val="nil"/>
              <w:left w:val="nil"/>
              <w:bottom w:val="nil"/>
              <w:right w:val="nil"/>
            </w:tcBorders>
            <w:shd w:val="clear" w:color="auto" w:fill="auto"/>
            <w:noWrap/>
            <w:vAlign w:val="bottom"/>
            <w:hideMark/>
          </w:tcPr>
          <w:p w14:paraId="46C3F4DD" w14:textId="77777777" w:rsidR="00D4428E" w:rsidRPr="00ED0E0F" w:rsidRDefault="00D4428E" w:rsidP="003E4D50">
            <w:pPr>
              <w:rPr>
                <w:rFonts w:eastAsia="Times New Roman"/>
                <w:color w:val="000000"/>
              </w:rPr>
            </w:pPr>
            <w:r w:rsidRPr="00ED0E0F">
              <w:rPr>
                <w:rFonts w:eastAsia="Times New Roman"/>
                <w:color w:val="000000"/>
              </w:rPr>
              <w:t>126,100</w:t>
            </w:r>
          </w:p>
        </w:tc>
        <w:tc>
          <w:tcPr>
            <w:tcW w:w="1534" w:type="dxa"/>
            <w:tcBorders>
              <w:top w:val="nil"/>
              <w:left w:val="nil"/>
              <w:bottom w:val="nil"/>
              <w:right w:val="nil"/>
            </w:tcBorders>
            <w:shd w:val="clear" w:color="auto" w:fill="auto"/>
            <w:noWrap/>
            <w:vAlign w:val="bottom"/>
            <w:hideMark/>
          </w:tcPr>
          <w:p w14:paraId="66959142" w14:textId="77777777" w:rsidR="00D4428E" w:rsidRPr="00ED0E0F" w:rsidRDefault="00D4428E" w:rsidP="003E4D50">
            <w:pPr>
              <w:rPr>
                <w:rFonts w:eastAsia="Times New Roman"/>
                <w:color w:val="000000"/>
              </w:rPr>
            </w:pPr>
            <w:r w:rsidRPr="00ED0E0F">
              <w:rPr>
                <w:rFonts w:eastAsia="Times New Roman"/>
                <w:color w:val="000000"/>
              </w:rPr>
              <w:t>43.8%</w:t>
            </w:r>
          </w:p>
        </w:tc>
      </w:tr>
      <w:tr w:rsidR="00D4428E" w:rsidRPr="00ED0E0F" w14:paraId="136EDADE" w14:textId="77777777" w:rsidTr="003E4D50">
        <w:trPr>
          <w:trHeight w:val="323"/>
        </w:trPr>
        <w:tc>
          <w:tcPr>
            <w:tcW w:w="2666" w:type="dxa"/>
            <w:tcBorders>
              <w:top w:val="nil"/>
              <w:left w:val="nil"/>
              <w:bottom w:val="nil"/>
              <w:right w:val="nil"/>
            </w:tcBorders>
            <w:shd w:val="clear" w:color="auto" w:fill="auto"/>
            <w:noWrap/>
            <w:vAlign w:val="bottom"/>
            <w:hideMark/>
          </w:tcPr>
          <w:p w14:paraId="7B8DC7D9" w14:textId="77777777" w:rsidR="00D4428E" w:rsidRPr="00ED0E0F" w:rsidRDefault="00D4428E" w:rsidP="003E4D50">
            <w:pPr>
              <w:rPr>
                <w:rFonts w:eastAsia="Times New Roman"/>
                <w:color w:val="000000"/>
              </w:rPr>
            </w:pPr>
            <w:r w:rsidRPr="00ED0E0F">
              <w:rPr>
                <w:rFonts w:eastAsia="Times New Roman"/>
                <w:color w:val="000000"/>
              </w:rPr>
              <w:t>Hancock</w:t>
            </w:r>
          </w:p>
        </w:tc>
        <w:tc>
          <w:tcPr>
            <w:tcW w:w="1652" w:type="dxa"/>
            <w:tcBorders>
              <w:top w:val="nil"/>
              <w:left w:val="nil"/>
              <w:bottom w:val="nil"/>
              <w:right w:val="nil"/>
            </w:tcBorders>
            <w:shd w:val="clear" w:color="auto" w:fill="auto"/>
            <w:noWrap/>
            <w:vAlign w:val="bottom"/>
            <w:hideMark/>
          </w:tcPr>
          <w:p w14:paraId="0938DAD4" w14:textId="77777777" w:rsidR="00D4428E" w:rsidRPr="00ED0E0F" w:rsidRDefault="00D4428E" w:rsidP="003E4D50">
            <w:pPr>
              <w:rPr>
                <w:rFonts w:eastAsia="Times New Roman"/>
                <w:color w:val="000000"/>
              </w:rPr>
            </w:pPr>
            <w:r w:rsidRPr="00ED0E0F">
              <w:rPr>
                <w:rFonts w:eastAsia="Times New Roman"/>
                <w:color w:val="000000"/>
              </w:rPr>
              <w:t>40,000</w:t>
            </w:r>
          </w:p>
        </w:tc>
        <w:tc>
          <w:tcPr>
            <w:tcW w:w="1627" w:type="dxa"/>
            <w:tcBorders>
              <w:top w:val="nil"/>
              <w:left w:val="nil"/>
              <w:bottom w:val="nil"/>
              <w:right w:val="nil"/>
            </w:tcBorders>
            <w:shd w:val="clear" w:color="auto" w:fill="auto"/>
            <w:noWrap/>
            <w:vAlign w:val="bottom"/>
            <w:hideMark/>
          </w:tcPr>
          <w:p w14:paraId="652FA864" w14:textId="77777777" w:rsidR="00D4428E" w:rsidRPr="00ED0E0F" w:rsidRDefault="00D4428E" w:rsidP="003E4D50">
            <w:pPr>
              <w:rPr>
                <w:rFonts w:eastAsia="Times New Roman"/>
                <w:color w:val="000000"/>
              </w:rPr>
            </w:pPr>
            <w:r w:rsidRPr="00ED0E0F">
              <w:rPr>
                <w:rFonts w:eastAsia="Times New Roman"/>
                <w:color w:val="000000"/>
              </w:rPr>
              <w:t>65,000</w:t>
            </w:r>
          </w:p>
        </w:tc>
        <w:tc>
          <w:tcPr>
            <w:tcW w:w="1534" w:type="dxa"/>
            <w:tcBorders>
              <w:top w:val="nil"/>
              <w:left w:val="nil"/>
              <w:bottom w:val="nil"/>
              <w:right w:val="nil"/>
            </w:tcBorders>
            <w:shd w:val="clear" w:color="auto" w:fill="auto"/>
            <w:noWrap/>
            <w:vAlign w:val="bottom"/>
            <w:hideMark/>
          </w:tcPr>
          <w:p w14:paraId="705BF910" w14:textId="77777777" w:rsidR="00D4428E" w:rsidRPr="00ED0E0F" w:rsidRDefault="00D4428E" w:rsidP="003E4D50">
            <w:pPr>
              <w:rPr>
                <w:rFonts w:eastAsia="Times New Roman"/>
                <w:color w:val="000000"/>
              </w:rPr>
            </w:pPr>
            <w:r w:rsidRPr="00ED0E0F">
              <w:rPr>
                <w:rFonts w:eastAsia="Times New Roman"/>
                <w:color w:val="000000"/>
              </w:rPr>
              <w:t>38.5%</w:t>
            </w:r>
          </w:p>
        </w:tc>
      </w:tr>
      <w:tr w:rsidR="00D4428E" w:rsidRPr="00ED0E0F" w14:paraId="1A5FF96B" w14:textId="77777777" w:rsidTr="003E4D50">
        <w:trPr>
          <w:trHeight w:val="323"/>
        </w:trPr>
        <w:tc>
          <w:tcPr>
            <w:tcW w:w="2666" w:type="dxa"/>
            <w:tcBorders>
              <w:top w:val="nil"/>
              <w:left w:val="nil"/>
              <w:bottom w:val="nil"/>
              <w:right w:val="nil"/>
            </w:tcBorders>
            <w:shd w:val="clear" w:color="auto" w:fill="auto"/>
            <w:noWrap/>
            <w:vAlign w:val="bottom"/>
            <w:hideMark/>
          </w:tcPr>
          <w:p w14:paraId="1ECF3A76" w14:textId="77777777" w:rsidR="00D4428E" w:rsidRPr="00ED0E0F" w:rsidRDefault="00D4428E" w:rsidP="003E4D50">
            <w:pPr>
              <w:rPr>
                <w:rFonts w:eastAsia="Times New Roman"/>
                <w:color w:val="000000"/>
              </w:rPr>
            </w:pPr>
            <w:proofErr w:type="spellStart"/>
            <w:r w:rsidRPr="00ED0E0F">
              <w:rPr>
                <w:rFonts w:eastAsia="Times New Roman"/>
                <w:color w:val="000000"/>
              </w:rPr>
              <w:t>Chokio</w:t>
            </w:r>
            <w:proofErr w:type="spellEnd"/>
          </w:p>
        </w:tc>
        <w:tc>
          <w:tcPr>
            <w:tcW w:w="1652" w:type="dxa"/>
            <w:tcBorders>
              <w:top w:val="nil"/>
              <w:left w:val="nil"/>
              <w:bottom w:val="nil"/>
              <w:right w:val="nil"/>
            </w:tcBorders>
            <w:shd w:val="clear" w:color="auto" w:fill="auto"/>
            <w:noWrap/>
            <w:vAlign w:val="bottom"/>
            <w:hideMark/>
          </w:tcPr>
          <w:p w14:paraId="0F02831B" w14:textId="77777777" w:rsidR="00D4428E" w:rsidRPr="00ED0E0F" w:rsidRDefault="00D4428E" w:rsidP="003E4D50">
            <w:pPr>
              <w:rPr>
                <w:rFonts w:eastAsia="Times New Roman"/>
                <w:color w:val="000000"/>
              </w:rPr>
            </w:pPr>
            <w:r w:rsidRPr="00ED0E0F">
              <w:rPr>
                <w:rFonts w:eastAsia="Times New Roman"/>
                <w:color w:val="000000"/>
              </w:rPr>
              <w:t>45,300</w:t>
            </w:r>
          </w:p>
        </w:tc>
        <w:tc>
          <w:tcPr>
            <w:tcW w:w="1627" w:type="dxa"/>
            <w:tcBorders>
              <w:top w:val="nil"/>
              <w:left w:val="nil"/>
              <w:bottom w:val="nil"/>
              <w:right w:val="nil"/>
            </w:tcBorders>
            <w:shd w:val="clear" w:color="auto" w:fill="auto"/>
            <w:noWrap/>
            <w:vAlign w:val="bottom"/>
            <w:hideMark/>
          </w:tcPr>
          <w:p w14:paraId="6E6C6C29" w14:textId="77777777" w:rsidR="00D4428E" w:rsidRPr="00ED0E0F" w:rsidRDefault="00D4428E" w:rsidP="003E4D50">
            <w:pPr>
              <w:rPr>
                <w:rFonts w:eastAsia="Times New Roman"/>
                <w:color w:val="000000"/>
              </w:rPr>
            </w:pPr>
            <w:r w:rsidRPr="00ED0E0F">
              <w:rPr>
                <w:rFonts w:eastAsia="Times New Roman"/>
                <w:color w:val="000000"/>
              </w:rPr>
              <w:t>76,800</w:t>
            </w:r>
          </w:p>
        </w:tc>
        <w:tc>
          <w:tcPr>
            <w:tcW w:w="1534" w:type="dxa"/>
            <w:tcBorders>
              <w:top w:val="nil"/>
              <w:left w:val="nil"/>
              <w:bottom w:val="nil"/>
              <w:right w:val="nil"/>
            </w:tcBorders>
            <w:shd w:val="clear" w:color="auto" w:fill="auto"/>
            <w:noWrap/>
            <w:vAlign w:val="bottom"/>
            <w:hideMark/>
          </w:tcPr>
          <w:p w14:paraId="507E5A6D" w14:textId="77777777" w:rsidR="00D4428E" w:rsidRPr="00ED0E0F" w:rsidRDefault="00D4428E" w:rsidP="003E4D50">
            <w:pPr>
              <w:rPr>
                <w:rFonts w:eastAsia="Times New Roman"/>
                <w:color w:val="000000"/>
              </w:rPr>
            </w:pPr>
            <w:r w:rsidRPr="00ED0E0F">
              <w:rPr>
                <w:rFonts w:eastAsia="Times New Roman"/>
                <w:color w:val="000000"/>
              </w:rPr>
              <w:t>41.0%</w:t>
            </w:r>
          </w:p>
        </w:tc>
      </w:tr>
      <w:tr w:rsidR="00D4428E" w:rsidRPr="00ED0E0F" w14:paraId="49E7F5A5" w14:textId="77777777" w:rsidTr="003E4D50">
        <w:trPr>
          <w:trHeight w:val="323"/>
        </w:trPr>
        <w:tc>
          <w:tcPr>
            <w:tcW w:w="2666" w:type="dxa"/>
            <w:tcBorders>
              <w:top w:val="nil"/>
              <w:left w:val="nil"/>
              <w:bottom w:val="nil"/>
              <w:right w:val="nil"/>
            </w:tcBorders>
            <w:shd w:val="clear" w:color="auto" w:fill="auto"/>
            <w:noWrap/>
            <w:vAlign w:val="bottom"/>
            <w:hideMark/>
          </w:tcPr>
          <w:p w14:paraId="6EF02DF9" w14:textId="77777777" w:rsidR="00D4428E" w:rsidRPr="00ED0E0F" w:rsidRDefault="00D4428E" w:rsidP="003E4D50">
            <w:pPr>
              <w:rPr>
                <w:rFonts w:eastAsia="Times New Roman"/>
                <w:color w:val="000000"/>
              </w:rPr>
            </w:pPr>
            <w:r w:rsidRPr="00ED0E0F">
              <w:rPr>
                <w:rFonts w:eastAsia="Times New Roman"/>
                <w:color w:val="000000"/>
              </w:rPr>
              <w:t>Donnelly</w:t>
            </w:r>
          </w:p>
        </w:tc>
        <w:tc>
          <w:tcPr>
            <w:tcW w:w="1652" w:type="dxa"/>
            <w:tcBorders>
              <w:top w:val="nil"/>
              <w:left w:val="nil"/>
              <w:bottom w:val="nil"/>
              <w:right w:val="nil"/>
            </w:tcBorders>
            <w:shd w:val="clear" w:color="auto" w:fill="auto"/>
            <w:noWrap/>
            <w:vAlign w:val="bottom"/>
            <w:hideMark/>
          </w:tcPr>
          <w:p w14:paraId="0F209AD4" w14:textId="77777777" w:rsidR="00D4428E" w:rsidRPr="00ED0E0F" w:rsidRDefault="00D4428E" w:rsidP="003E4D50">
            <w:pPr>
              <w:rPr>
                <w:rFonts w:eastAsia="Times New Roman"/>
                <w:color w:val="000000"/>
              </w:rPr>
            </w:pPr>
            <w:r w:rsidRPr="00ED0E0F">
              <w:rPr>
                <w:rFonts w:eastAsia="Times New Roman"/>
                <w:color w:val="000000"/>
              </w:rPr>
              <w:t>44,500</w:t>
            </w:r>
          </w:p>
        </w:tc>
        <w:tc>
          <w:tcPr>
            <w:tcW w:w="1627" w:type="dxa"/>
            <w:tcBorders>
              <w:top w:val="nil"/>
              <w:left w:val="nil"/>
              <w:bottom w:val="nil"/>
              <w:right w:val="nil"/>
            </w:tcBorders>
            <w:shd w:val="clear" w:color="auto" w:fill="auto"/>
            <w:noWrap/>
            <w:vAlign w:val="bottom"/>
            <w:hideMark/>
          </w:tcPr>
          <w:p w14:paraId="70E063BF" w14:textId="77777777" w:rsidR="00D4428E" w:rsidRPr="00ED0E0F" w:rsidRDefault="00D4428E" w:rsidP="003E4D50">
            <w:pPr>
              <w:rPr>
                <w:rFonts w:eastAsia="Times New Roman"/>
                <w:color w:val="000000"/>
              </w:rPr>
            </w:pPr>
            <w:r w:rsidRPr="00ED0E0F">
              <w:rPr>
                <w:rFonts w:eastAsia="Times New Roman"/>
                <w:color w:val="000000"/>
              </w:rPr>
              <w:t>78,600</w:t>
            </w:r>
          </w:p>
        </w:tc>
        <w:tc>
          <w:tcPr>
            <w:tcW w:w="1534" w:type="dxa"/>
            <w:tcBorders>
              <w:top w:val="nil"/>
              <w:left w:val="nil"/>
              <w:bottom w:val="nil"/>
              <w:right w:val="nil"/>
            </w:tcBorders>
            <w:shd w:val="clear" w:color="auto" w:fill="auto"/>
            <w:noWrap/>
            <w:vAlign w:val="bottom"/>
            <w:hideMark/>
          </w:tcPr>
          <w:p w14:paraId="6B5F8115" w14:textId="77777777" w:rsidR="00D4428E" w:rsidRPr="00ED0E0F" w:rsidRDefault="00D4428E" w:rsidP="003E4D50">
            <w:pPr>
              <w:rPr>
                <w:rFonts w:eastAsia="Times New Roman"/>
                <w:color w:val="000000"/>
              </w:rPr>
            </w:pPr>
            <w:r w:rsidRPr="00ED0E0F">
              <w:rPr>
                <w:rFonts w:eastAsia="Times New Roman"/>
                <w:color w:val="000000"/>
              </w:rPr>
              <w:t>43.4%</w:t>
            </w:r>
          </w:p>
        </w:tc>
      </w:tr>
      <w:tr w:rsidR="00D4428E" w:rsidRPr="00ED0E0F" w14:paraId="6D53D807" w14:textId="77777777" w:rsidTr="003E4D50">
        <w:trPr>
          <w:trHeight w:val="323"/>
        </w:trPr>
        <w:tc>
          <w:tcPr>
            <w:tcW w:w="2666" w:type="dxa"/>
            <w:tcBorders>
              <w:top w:val="nil"/>
              <w:left w:val="nil"/>
              <w:bottom w:val="nil"/>
              <w:right w:val="nil"/>
            </w:tcBorders>
            <w:shd w:val="clear" w:color="auto" w:fill="auto"/>
            <w:noWrap/>
            <w:vAlign w:val="bottom"/>
            <w:hideMark/>
          </w:tcPr>
          <w:p w14:paraId="62C78DE3" w14:textId="77777777" w:rsidR="00D4428E" w:rsidRPr="00ED0E0F" w:rsidRDefault="00D4428E" w:rsidP="003E4D50">
            <w:pPr>
              <w:rPr>
                <w:rFonts w:eastAsia="Times New Roman"/>
                <w:color w:val="000000"/>
              </w:rPr>
            </w:pPr>
            <w:r w:rsidRPr="00ED0E0F">
              <w:rPr>
                <w:rFonts w:eastAsia="Times New Roman"/>
                <w:color w:val="000000"/>
              </w:rPr>
              <w:t>Alberta</w:t>
            </w:r>
          </w:p>
        </w:tc>
        <w:tc>
          <w:tcPr>
            <w:tcW w:w="1652" w:type="dxa"/>
            <w:tcBorders>
              <w:top w:val="nil"/>
              <w:left w:val="nil"/>
              <w:bottom w:val="nil"/>
              <w:right w:val="nil"/>
            </w:tcBorders>
            <w:shd w:val="clear" w:color="auto" w:fill="auto"/>
            <w:noWrap/>
            <w:vAlign w:val="bottom"/>
            <w:hideMark/>
          </w:tcPr>
          <w:p w14:paraId="1C9B1A3B" w14:textId="77777777" w:rsidR="00D4428E" w:rsidRPr="00ED0E0F" w:rsidRDefault="00D4428E" w:rsidP="003E4D50">
            <w:pPr>
              <w:rPr>
                <w:rFonts w:eastAsia="Times New Roman"/>
                <w:color w:val="000000"/>
              </w:rPr>
            </w:pPr>
            <w:r w:rsidRPr="00ED0E0F">
              <w:rPr>
                <w:rFonts w:eastAsia="Times New Roman"/>
                <w:color w:val="000000"/>
              </w:rPr>
              <w:t>38,000</w:t>
            </w:r>
          </w:p>
        </w:tc>
        <w:tc>
          <w:tcPr>
            <w:tcW w:w="1627" w:type="dxa"/>
            <w:tcBorders>
              <w:top w:val="nil"/>
              <w:left w:val="nil"/>
              <w:bottom w:val="nil"/>
              <w:right w:val="nil"/>
            </w:tcBorders>
            <w:shd w:val="clear" w:color="auto" w:fill="auto"/>
            <w:noWrap/>
            <w:vAlign w:val="bottom"/>
            <w:hideMark/>
          </w:tcPr>
          <w:p w14:paraId="0549F7F8" w14:textId="77777777" w:rsidR="00D4428E" w:rsidRPr="00ED0E0F" w:rsidRDefault="00D4428E" w:rsidP="003E4D50">
            <w:pPr>
              <w:rPr>
                <w:rFonts w:eastAsia="Times New Roman"/>
                <w:color w:val="000000"/>
              </w:rPr>
            </w:pPr>
            <w:r w:rsidRPr="00ED0E0F">
              <w:rPr>
                <w:rFonts w:eastAsia="Times New Roman"/>
                <w:color w:val="000000"/>
              </w:rPr>
              <w:t>48,600</w:t>
            </w:r>
          </w:p>
        </w:tc>
        <w:tc>
          <w:tcPr>
            <w:tcW w:w="1534" w:type="dxa"/>
            <w:tcBorders>
              <w:top w:val="nil"/>
              <w:left w:val="nil"/>
              <w:bottom w:val="nil"/>
              <w:right w:val="nil"/>
            </w:tcBorders>
            <w:shd w:val="clear" w:color="auto" w:fill="auto"/>
            <w:noWrap/>
            <w:vAlign w:val="bottom"/>
            <w:hideMark/>
          </w:tcPr>
          <w:p w14:paraId="01BA90DB" w14:textId="77777777" w:rsidR="00D4428E" w:rsidRPr="00ED0E0F" w:rsidRDefault="00D4428E" w:rsidP="003E4D50">
            <w:pPr>
              <w:rPr>
                <w:rFonts w:eastAsia="Times New Roman"/>
                <w:color w:val="000000"/>
              </w:rPr>
            </w:pPr>
            <w:r w:rsidRPr="00ED0E0F">
              <w:rPr>
                <w:rFonts w:eastAsia="Times New Roman"/>
                <w:color w:val="000000"/>
              </w:rPr>
              <w:t>21.8%</w:t>
            </w:r>
          </w:p>
        </w:tc>
      </w:tr>
    </w:tbl>
    <w:p w14:paraId="449386C5" w14:textId="77777777" w:rsidR="00D4428E" w:rsidRPr="00ED0E0F" w:rsidRDefault="00D4428E" w:rsidP="00D4428E"/>
    <w:p w14:paraId="6AA618A4" w14:textId="77777777" w:rsidR="00D4428E" w:rsidRPr="00ED0E0F" w:rsidRDefault="00D4428E" w:rsidP="00D4428E"/>
    <w:p w14:paraId="010C4D0F" w14:textId="77777777" w:rsidR="00D4428E" w:rsidRPr="00ED0E0F" w:rsidRDefault="00D4428E" w:rsidP="00D4428E"/>
    <w:p w14:paraId="4FF4E721" w14:textId="77777777" w:rsidR="00D4428E" w:rsidRPr="00ED0E0F" w:rsidRDefault="00D4428E" w:rsidP="00D4428E">
      <w:pPr>
        <w:rPr>
          <w:b/>
        </w:rPr>
      </w:pPr>
      <w:r w:rsidRPr="00ED0E0F">
        <w:rPr>
          <w:b/>
        </w:rPr>
        <w:t>Table 11: Age of Housing Stock</w:t>
      </w:r>
    </w:p>
    <w:tbl>
      <w:tblPr>
        <w:tblW w:w="6210" w:type="dxa"/>
        <w:tblLook w:val="04A0" w:firstRow="1" w:lastRow="0" w:firstColumn="1" w:lastColumn="0" w:noHBand="0" w:noVBand="1"/>
      </w:tblPr>
      <w:tblGrid>
        <w:gridCol w:w="2886"/>
        <w:gridCol w:w="1662"/>
        <w:gridCol w:w="1662"/>
      </w:tblGrid>
      <w:tr w:rsidR="00D4428E" w:rsidRPr="00ED0E0F" w14:paraId="60C46FCA" w14:textId="77777777" w:rsidTr="003E4D50">
        <w:trPr>
          <w:trHeight w:val="328"/>
        </w:trPr>
        <w:tc>
          <w:tcPr>
            <w:tcW w:w="2886" w:type="dxa"/>
            <w:tcBorders>
              <w:top w:val="nil"/>
              <w:left w:val="nil"/>
              <w:bottom w:val="nil"/>
              <w:right w:val="nil"/>
            </w:tcBorders>
            <w:shd w:val="clear" w:color="auto" w:fill="auto"/>
            <w:noWrap/>
            <w:vAlign w:val="bottom"/>
            <w:hideMark/>
          </w:tcPr>
          <w:p w14:paraId="0153BD0D" w14:textId="77777777" w:rsidR="00D4428E" w:rsidRPr="00ED0E0F" w:rsidRDefault="00D4428E" w:rsidP="003E4D50">
            <w:pPr>
              <w:rPr>
                <w:rFonts w:eastAsia="Times New Roman"/>
                <w:color w:val="000000"/>
                <w:u w:val="single"/>
              </w:rPr>
            </w:pPr>
            <w:r w:rsidRPr="00ED0E0F">
              <w:rPr>
                <w:rFonts w:eastAsia="Times New Roman"/>
                <w:color w:val="000000"/>
                <w:u w:val="single"/>
              </w:rPr>
              <w:t>Year Structure Built</w:t>
            </w:r>
          </w:p>
        </w:tc>
        <w:tc>
          <w:tcPr>
            <w:tcW w:w="1662" w:type="dxa"/>
            <w:tcBorders>
              <w:top w:val="nil"/>
              <w:left w:val="nil"/>
              <w:bottom w:val="nil"/>
              <w:right w:val="nil"/>
            </w:tcBorders>
            <w:shd w:val="clear" w:color="auto" w:fill="auto"/>
            <w:noWrap/>
            <w:vAlign w:val="bottom"/>
            <w:hideMark/>
          </w:tcPr>
          <w:p w14:paraId="0488556C" w14:textId="77777777" w:rsidR="00D4428E" w:rsidRPr="00ED0E0F" w:rsidRDefault="00D4428E" w:rsidP="003E4D50">
            <w:pPr>
              <w:rPr>
                <w:rFonts w:eastAsia="Times New Roman"/>
                <w:color w:val="000000"/>
                <w:u w:val="single"/>
              </w:rPr>
            </w:pPr>
          </w:p>
          <w:p w14:paraId="7D41BE77" w14:textId="77777777" w:rsidR="00D4428E" w:rsidRPr="00ED0E0F" w:rsidRDefault="00D4428E" w:rsidP="003E4D50">
            <w:pPr>
              <w:rPr>
                <w:rFonts w:eastAsia="Times New Roman"/>
                <w:color w:val="000000"/>
                <w:u w:val="single"/>
              </w:rPr>
            </w:pPr>
          </w:p>
          <w:p w14:paraId="5E34C356" w14:textId="77777777" w:rsidR="00D4428E" w:rsidRPr="00ED0E0F" w:rsidRDefault="00D4428E" w:rsidP="003E4D50">
            <w:pPr>
              <w:rPr>
                <w:rFonts w:eastAsia="Times New Roman"/>
                <w:color w:val="000000"/>
                <w:u w:val="single"/>
              </w:rPr>
            </w:pPr>
            <w:r w:rsidRPr="00ED0E0F">
              <w:rPr>
                <w:rFonts w:eastAsia="Times New Roman"/>
                <w:color w:val="000000"/>
                <w:u w:val="single"/>
              </w:rPr>
              <w:t>Morris</w:t>
            </w:r>
          </w:p>
        </w:tc>
        <w:tc>
          <w:tcPr>
            <w:tcW w:w="1662" w:type="dxa"/>
            <w:tcBorders>
              <w:top w:val="nil"/>
              <w:left w:val="nil"/>
              <w:bottom w:val="nil"/>
              <w:right w:val="nil"/>
            </w:tcBorders>
            <w:shd w:val="clear" w:color="auto" w:fill="auto"/>
            <w:noWrap/>
            <w:vAlign w:val="bottom"/>
            <w:hideMark/>
          </w:tcPr>
          <w:p w14:paraId="2936AE9C" w14:textId="77777777" w:rsidR="00D4428E" w:rsidRPr="00ED0E0F" w:rsidRDefault="00D4428E" w:rsidP="003E4D50">
            <w:pPr>
              <w:rPr>
                <w:rFonts w:eastAsia="Times New Roman"/>
                <w:color w:val="000000"/>
                <w:u w:val="single"/>
              </w:rPr>
            </w:pPr>
          </w:p>
          <w:p w14:paraId="31D54D85" w14:textId="77777777" w:rsidR="00D4428E" w:rsidRPr="00ED0E0F" w:rsidRDefault="00D4428E" w:rsidP="003E4D50">
            <w:pPr>
              <w:rPr>
                <w:rFonts w:eastAsia="Times New Roman"/>
                <w:color w:val="000000"/>
                <w:u w:val="single"/>
              </w:rPr>
            </w:pPr>
          </w:p>
          <w:p w14:paraId="5F0BBFA8" w14:textId="77777777" w:rsidR="00D4428E" w:rsidRPr="00ED0E0F" w:rsidRDefault="00D4428E" w:rsidP="003E4D50">
            <w:pPr>
              <w:rPr>
                <w:rFonts w:eastAsia="Times New Roman"/>
                <w:color w:val="000000"/>
                <w:u w:val="single"/>
              </w:rPr>
            </w:pPr>
            <w:r w:rsidRPr="00ED0E0F">
              <w:rPr>
                <w:rFonts w:eastAsia="Times New Roman"/>
                <w:color w:val="000000"/>
                <w:u w:val="single"/>
              </w:rPr>
              <w:t>Stevens Co.</w:t>
            </w:r>
          </w:p>
        </w:tc>
      </w:tr>
      <w:tr w:rsidR="00D4428E" w:rsidRPr="00ED0E0F" w14:paraId="4649ECE8" w14:textId="77777777" w:rsidTr="003E4D50">
        <w:trPr>
          <w:trHeight w:val="328"/>
        </w:trPr>
        <w:tc>
          <w:tcPr>
            <w:tcW w:w="2886" w:type="dxa"/>
            <w:tcBorders>
              <w:top w:val="nil"/>
              <w:left w:val="nil"/>
              <w:bottom w:val="nil"/>
              <w:right w:val="nil"/>
            </w:tcBorders>
            <w:shd w:val="clear" w:color="auto" w:fill="auto"/>
            <w:noWrap/>
            <w:vAlign w:val="bottom"/>
            <w:hideMark/>
          </w:tcPr>
          <w:p w14:paraId="6B017777" w14:textId="77777777" w:rsidR="00D4428E" w:rsidRPr="00ED0E0F" w:rsidRDefault="00D4428E" w:rsidP="003E4D50">
            <w:pPr>
              <w:rPr>
                <w:rFonts w:eastAsia="Times New Roman"/>
                <w:color w:val="222222"/>
              </w:rPr>
            </w:pPr>
            <w:r w:rsidRPr="00ED0E0F">
              <w:rPr>
                <w:rFonts w:eastAsia="Times New Roman"/>
                <w:color w:val="222222"/>
              </w:rPr>
              <w:t xml:space="preserve"> 2005 or later</w:t>
            </w:r>
          </w:p>
        </w:tc>
        <w:tc>
          <w:tcPr>
            <w:tcW w:w="1662" w:type="dxa"/>
            <w:tcBorders>
              <w:top w:val="nil"/>
              <w:left w:val="nil"/>
              <w:bottom w:val="nil"/>
              <w:right w:val="nil"/>
            </w:tcBorders>
            <w:shd w:val="clear" w:color="auto" w:fill="auto"/>
            <w:noWrap/>
            <w:vAlign w:val="bottom"/>
            <w:hideMark/>
          </w:tcPr>
          <w:p w14:paraId="3250FD54" w14:textId="77777777" w:rsidR="00D4428E" w:rsidRPr="00ED0E0F" w:rsidRDefault="00D4428E" w:rsidP="003E4D50">
            <w:pPr>
              <w:rPr>
                <w:rFonts w:eastAsia="Times New Roman"/>
                <w:color w:val="222222"/>
              </w:rPr>
            </w:pPr>
            <w:r w:rsidRPr="00ED0E0F">
              <w:rPr>
                <w:rFonts w:eastAsia="Times New Roman"/>
                <w:color w:val="222222"/>
              </w:rPr>
              <w:t>22</w:t>
            </w:r>
          </w:p>
        </w:tc>
        <w:tc>
          <w:tcPr>
            <w:tcW w:w="1662" w:type="dxa"/>
            <w:tcBorders>
              <w:top w:val="nil"/>
              <w:left w:val="nil"/>
              <w:bottom w:val="nil"/>
              <w:right w:val="nil"/>
            </w:tcBorders>
            <w:shd w:val="clear" w:color="auto" w:fill="auto"/>
            <w:noWrap/>
            <w:vAlign w:val="bottom"/>
            <w:hideMark/>
          </w:tcPr>
          <w:p w14:paraId="681344F9" w14:textId="77777777" w:rsidR="00D4428E" w:rsidRPr="00ED0E0F" w:rsidRDefault="00D4428E" w:rsidP="003E4D50">
            <w:pPr>
              <w:rPr>
                <w:rFonts w:eastAsia="Times New Roman"/>
                <w:color w:val="222222"/>
              </w:rPr>
            </w:pPr>
            <w:r w:rsidRPr="00ED0E0F">
              <w:rPr>
                <w:rFonts w:eastAsia="Times New Roman"/>
                <w:color w:val="222222"/>
              </w:rPr>
              <w:t>103</w:t>
            </w:r>
          </w:p>
        </w:tc>
      </w:tr>
      <w:tr w:rsidR="00D4428E" w:rsidRPr="00ED0E0F" w14:paraId="57176BB3" w14:textId="77777777" w:rsidTr="003E4D50">
        <w:trPr>
          <w:trHeight w:val="328"/>
        </w:trPr>
        <w:tc>
          <w:tcPr>
            <w:tcW w:w="2886" w:type="dxa"/>
            <w:tcBorders>
              <w:top w:val="nil"/>
              <w:left w:val="nil"/>
              <w:bottom w:val="nil"/>
              <w:right w:val="nil"/>
            </w:tcBorders>
            <w:shd w:val="clear" w:color="auto" w:fill="auto"/>
            <w:noWrap/>
            <w:vAlign w:val="bottom"/>
            <w:hideMark/>
          </w:tcPr>
          <w:p w14:paraId="1D126211" w14:textId="77777777" w:rsidR="00D4428E" w:rsidRPr="00ED0E0F" w:rsidRDefault="00D4428E" w:rsidP="003E4D50">
            <w:pPr>
              <w:rPr>
                <w:rFonts w:eastAsia="Times New Roman"/>
                <w:color w:val="222222"/>
              </w:rPr>
            </w:pPr>
            <w:r w:rsidRPr="00ED0E0F">
              <w:rPr>
                <w:rFonts w:eastAsia="Times New Roman"/>
                <w:color w:val="222222"/>
              </w:rPr>
              <w:t xml:space="preserve"> 2000 to 2004</w:t>
            </w:r>
          </w:p>
        </w:tc>
        <w:tc>
          <w:tcPr>
            <w:tcW w:w="1662" w:type="dxa"/>
            <w:tcBorders>
              <w:top w:val="nil"/>
              <w:left w:val="nil"/>
              <w:bottom w:val="nil"/>
              <w:right w:val="nil"/>
            </w:tcBorders>
            <w:shd w:val="clear" w:color="auto" w:fill="auto"/>
            <w:noWrap/>
            <w:vAlign w:val="bottom"/>
            <w:hideMark/>
          </w:tcPr>
          <w:p w14:paraId="6548DB39" w14:textId="77777777" w:rsidR="00D4428E" w:rsidRPr="00ED0E0F" w:rsidRDefault="00D4428E" w:rsidP="003E4D50">
            <w:pPr>
              <w:rPr>
                <w:rFonts w:eastAsia="Times New Roman"/>
                <w:color w:val="222222"/>
              </w:rPr>
            </w:pPr>
            <w:r w:rsidRPr="00ED0E0F">
              <w:rPr>
                <w:rFonts w:eastAsia="Times New Roman"/>
                <w:color w:val="222222"/>
              </w:rPr>
              <w:t>66</w:t>
            </w:r>
          </w:p>
        </w:tc>
        <w:tc>
          <w:tcPr>
            <w:tcW w:w="1662" w:type="dxa"/>
            <w:tcBorders>
              <w:top w:val="nil"/>
              <w:left w:val="nil"/>
              <w:bottom w:val="nil"/>
              <w:right w:val="nil"/>
            </w:tcBorders>
            <w:shd w:val="clear" w:color="auto" w:fill="auto"/>
            <w:noWrap/>
            <w:vAlign w:val="bottom"/>
            <w:hideMark/>
          </w:tcPr>
          <w:p w14:paraId="370F0AA0" w14:textId="77777777" w:rsidR="00D4428E" w:rsidRPr="00ED0E0F" w:rsidRDefault="00D4428E" w:rsidP="003E4D50">
            <w:pPr>
              <w:rPr>
                <w:rFonts w:eastAsia="Times New Roman"/>
                <w:color w:val="222222"/>
              </w:rPr>
            </w:pPr>
            <w:r w:rsidRPr="00ED0E0F">
              <w:rPr>
                <w:rFonts w:eastAsia="Times New Roman"/>
                <w:color w:val="222222"/>
              </w:rPr>
              <w:t>156</w:t>
            </w:r>
          </w:p>
        </w:tc>
      </w:tr>
      <w:tr w:rsidR="00D4428E" w:rsidRPr="00ED0E0F" w14:paraId="013EBCCD" w14:textId="77777777" w:rsidTr="003E4D50">
        <w:trPr>
          <w:trHeight w:val="328"/>
        </w:trPr>
        <w:tc>
          <w:tcPr>
            <w:tcW w:w="2886" w:type="dxa"/>
            <w:tcBorders>
              <w:top w:val="nil"/>
              <w:left w:val="nil"/>
              <w:bottom w:val="nil"/>
              <w:right w:val="nil"/>
            </w:tcBorders>
            <w:shd w:val="clear" w:color="auto" w:fill="auto"/>
            <w:noWrap/>
            <w:vAlign w:val="bottom"/>
            <w:hideMark/>
          </w:tcPr>
          <w:p w14:paraId="388B881F" w14:textId="77777777" w:rsidR="00D4428E" w:rsidRPr="00ED0E0F" w:rsidRDefault="00D4428E" w:rsidP="003E4D50">
            <w:pPr>
              <w:rPr>
                <w:rFonts w:eastAsia="Times New Roman"/>
                <w:color w:val="222222"/>
              </w:rPr>
            </w:pPr>
            <w:r w:rsidRPr="00ED0E0F">
              <w:rPr>
                <w:rFonts w:eastAsia="Times New Roman"/>
                <w:color w:val="222222"/>
              </w:rPr>
              <w:t xml:space="preserve"> 1990 to 1999</w:t>
            </w:r>
          </w:p>
        </w:tc>
        <w:tc>
          <w:tcPr>
            <w:tcW w:w="1662" w:type="dxa"/>
            <w:tcBorders>
              <w:top w:val="nil"/>
              <w:left w:val="nil"/>
              <w:bottom w:val="nil"/>
              <w:right w:val="nil"/>
            </w:tcBorders>
            <w:shd w:val="clear" w:color="auto" w:fill="auto"/>
            <w:noWrap/>
            <w:vAlign w:val="bottom"/>
            <w:hideMark/>
          </w:tcPr>
          <w:p w14:paraId="5BF1DBC9" w14:textId="77777777" w:rsidR="00D4428E" w:rsidRPr="00ED0E0F" w:rsidRDefault="00D4428E" w:rsidP="003E4D50">
            <w:pPr>
              <w:rPr>
                <w:rFonts w:eastAsia="Times New Roman"/>
                <w:color w:val="222222"/>
              </w:rPr>
            </w:pPr>
            <w:r w:rsidRPr="00ED0E0F">
              <w:rPr>
                <w:rFonts w:eastAsia="Times New Roman"/>
                <w:color w:val="222222"/>
              </w:rPr>
              <w:t>227</w:t>
            </w:r>
          </w:p>
        </w:tc>
        <w:tc>
          <w:tcPr>
            <w:tcW w:w="1662" w:type="dxa"/>
            <w:tcBorders>
              <w:top w:val="nil"/>
              <w:left w:val="nil"/>
              <w:bottom w:val="nil"/>
              <w:right w:val="nil"/>
            </w:tcBorders>
            <w:shd w:val="clear" w:color="auto" w:fill="auto"/>
            <w:noWrap/>
            <w:vAlign w:val="bottom"/>
            <w:hideMark/>
          </w:tcPr>
          <w:p w14:paraId="688995A5" w14:textId="77777777" w:rsidR="00D4428E" w:rsidRPr="00ED0E0F" w:rsidRDefault="00D4428E" w:rsidP="003E4D50">
            <w:pPr>
              <w:rPr>
                <w:rFonts w:eastAsia="Times New Roman"/>
                <w:color w:val="222222"/>
              </w:rPr>
            </w:pPr>
            <w:r w:rsidRPr="00ED0E0F">
              <w:rPr>
                <w:rFonts w:eastAsia="Times New Roman"/>
                <w:color w:val="222222"/>
              </w:rPr>
              <w:t>445</w:t>
            </w:r>
          </w:p>
        </w:tc>
      </w:tr>
      <w:tr w:rsidR="00D4428E" w:rsidRPr="00ED0E0F" w14:paraId="63342EAC" w14:textId="77777777" w:rsidTr="003E4D50">
        <w:trPr>
          <w:trHeight w:val="328"/>
        </w:trPr>
        <w:tc>
          <w:tcPr>
            <w:tcW w:w="2886" w:type="dxa"/>
            <w:tcBorders>
              <w:top w:val="nil"/>
              <w:left w:val="nil"/>
              <w:bottom w:val="nil"/>
              <w:right w:val="nil"/>
            </w:tcBorders>
            <w:shd w:val="clear" w:color="auto" w:fill="auto"/>
            <w:noWrap/>
            <w:vAlign w:val="bottom"/>
            <w:hideMark/>
          </w:tcPr>
          <w:p w14:paraId="5EDDC07D" w14:textId="77777777" w:rsidR="00D4428E" w:rsidRPr="00ED0E0F" w:rsidRDefault="00D4428E" w:rsidP="003E4D50">
            <w:pPr>
              <w:rPr>
                <w:rFonts w:eastAsia="Times New Roman"/>
                <w:color w:val="222222"/>
              </w:rPr>
            </w:pPr>
            <w:r w:rsidRPr="00ED0E0F">
              <w:rPr>
                <w:rFonts w:eastAsia="Times New Roman"/>
                <w:color w:val="222222"/>
              </w:rPr>
              <w:t>1980 to 1989</w:t>
            </w:r>
          </w:p>
        </w:tc>
        <w:tc>
          <w:tcPr>
            <w:tcW w:w="1662" w:type="dxa"/>
            <w:tcBorders>
              <w:top w:val="nil"/>
              <w:left w:val="nil"/>
              <w:bottom w:val="nil"/>
              <w:right w:val="nil"/>
            </w:tcBorders>
            <w:shd w:val="clear" w:color="auto" w:fill="auto"/>
            <w:noWrap/>
            <w:vAlign w:val="bottom"/>
            <w:hideMark/>
          </w:tcPr>
          <w:p w14:paraId="7C2E6834" w14:textId="77777777" w:rsidR="00D4428E" w:rsidRPr="00ED0E0F" w:rsidRDefault="00D4428E" w:rsidP="003E4D50">
            <w:pPr>
              <w:rPr>
                <w:rFonts w:eastAsia="Times New Roman"/>
                <w:color w:val="222222"/>
              </w:rPr>
            </w:pPr>
            <w:r w:rsidRPr="00ED0E0F">
              <w:rPr>
                <w:rFonts w:eastAsia="Times New Roman"/>
                <w:color w:val="222222"/>
              </w:rPr>
              <w:t>255</w:t>
            </w:r>
          </w:p>
        </w:tc>
        <w:tc>
          <w:tcPr>
            <w:tcW w:w="1662" w:type="dxa"/>
            <w:tcBorders>
              <w:top w:val="nil"/>
              <w:left w:val="nil"/>
              <w:bottom w:val="nil"/>
              <w:right w:val="nil"/>
            </w:tcBorders>
            <w:shd w:val="clear" w:color="auto" w:fill="auto"/>
            <w:noWrap/>
            <w:vAlign w:val="bottom"/>
            <w:hideMark/>
          </w:tcPr>
          <w:p w14:paraId="1B6094AB" w14:textId="77777777" w:rsidR="00D4428E" w:rsidRPr="00ED0E0F" w:rsidRDefault="00D4428E" w:rsidP="003E4D50">
            <w:pPr>
              <w:rPr>
                <w:rFonts w:eastAsia="Times New Roman"/>
                <w:color w:val="222222"/>
              </w:rPr>
            </w:pPr>
            <w:r w:rsidRPr="00ED0E0F">
              <w:rPr>
                <w:rFonts w:eastAsia="Times New Roman"/>
                <w:color w:val="222222"/>
              </w:rPr>
              <w:t>411</w:t>
            </w:r>
          </w:p>
        </w:tc>
      </w:tr>
      <w:tr w:rsidR="00D4428E" w:rsidRPr="00ED0E0F" w14:paraId="247D3F43" w14:textId="77777777" w:rsidTr="003E4D50">
        <w:trPr>
          <w:trHeight w:val="328"/>
        </w:trPr>
        <w:tc>
          <w:tcPr>
            <w:tcW w:w="2886" w:type="dxa"/>
            <w:tcBorders>
              <w:top w:val="nil"/>
              <w:left w:val="nil"/>
              <w:bottom w:val="nil"/>
              <w:right w:val="nil"/>
            </w:tcBorders>
            <w:shd w:val="clear" w:color="auto" w:fill="auto"/>
            <w:noWrap/>
            <w:vAlign w:val="bottom"/>
            <w:hideMark/>
          </w:tcPr>
          <w:p w14:paraId="63EF726B" w14:textId="77777777" w:rsidR="00D4428E" w:rsidRPr="00ED0E0F" w:rsidRDefault="00D4428E" w:rsidP="003E4D50">
            <w:pPr>
              <w:rPr>
                <w:rFonts w:eastAsia="Times New Roman"/>
                <w:color w:val="222222"/>
              </w:rPr>
            </w:pPr>
            <w:r w:rsidRPr="00ED0E0F">
              <w:rPr>
                <w:rFonts w:eastAsia="Times New Roman"/>
                <w:color w:val="222222"/>
              </w:rPr>
              <w:t>1970 to 1979</w:t>
            </w:r>
          </w:p>
        </w:tc>
        <w:tc>
          <w:tcPr>
            <w:tcW w:w="1662" w:type="dxa"/>
            <w:tcBorders>
              <w:top w:val="nil"/>
              <w:left w:val="nil"/>
              <w:bottom w:val="nil"/>
              <w:right w:val="nil"/>
            </w:tcBorders>
            <w:shd w:val="clear" w:color="auto" w:fill="auto"/>
            <w:noWrap/>
            <w:vAlign w:val="bottom"/>
            <w:hideMark/>
          </w:tcPr>
          <w:p w14:paraId="74056F53" w14:textId="77777777" w:rsidR="00D4428E" w:rsidRPr="00ED0E0F" w:rsidRDefault="00D4428E" w:rsidP="003E4D50">
            <w:pPr>
              <w:rPr>
                <w:rFonts w:eastAsia="Times New Roman"/>
                <w:color w:val="222222"/>
              </w:rPr>
            </w:pPr>
            <w:r w:rsidRPr="00ED0E0F">
              <w:rPr>
                <w:rFonts w:eastAsia="Times New Roman"/>
                <w:color w:val="222222"/>
              </w:rPr>
              <w:t>196</w:t>
            </w:r>
          </w:p>
        </w:tc>
        <w:tc>
          <w:tcPr>
            <w:tcW w:w="1662" w:type="dxa"/>
            <w:tcBorders>
              <w:top w:val="nil"/>
              <w:left w:val="nil"/>
              <w:bottom w:val="nil"/>
              <w:right w:val="nil"/>
            </w:tcBorders>
            <w:shd w:val="clear" w:color="auto" w:fill="auto"/>
            <w:noWrap/>
            <w:vAlign w:val="bottom"/>
            <w:hideMark/>
          </w:tcPr>
          <w:p w14:paraId="0F8CB80B" w14:textId="77777777" w:rsidR="00D4428E" w:rsidRPr="00ED0E0F" w:rsidRDefault="00D4428E" w:rsidP="003E4D50">
            <w:pPr>
              <w:rPr>
                <w:rFonts w:eastAsia="Times New Roman"/>
                <w:color w:val="222222"/>
              </w:rPr>
            </w:pPr>
            <w:r w:rsidRPr="00ED0E0F">
              <w:rPr>
                <w:rFonts w:eastAsia="Times New Roman"/>
                <w:color w:val="222222"/>
              </w:rPr>
              <w:t>459</w:t>
            </w:r>
          </w:p>
        </w:tc>
      </w:tr>
      <w:tr w:rsidR="00D4428E" w:rsidRPr="00ED0E0F" w14:paraId="50AF0D53" w14:textId="77777777" w:rsidTr="003E4D50">
        <w:trPr>
          <w:trHeight w:val="328"/>
        </w:trPr>
        <w:tc>
          <w:tcPr>
            <w:tcW w:w="2886" w:type="dxa"/>
            <w:tcBorders>
              <w:top w:val="nil"/>
              <w:left w:val="nil"/>
              <w:bottom w:val="nil"/>
              <w:right w:val="nil"/>
            </w:tcBorders>
            <w:shd w:val="clear" w:color="auto" w:fill="auto"/>
            <w:noWrap/>
            <w:vAlign w:val="bottom"/>
            <w:hideMark/>
          </w:tcPr>
          <w:p w14:paraId="73F0A8D4" w14:textId="77777777" w:rsidR="00D4428E" w:rsidRPr="00ED0E0F" w:rsidRDefault="00D4428E" w:rsidP="003E4D50">
            <w:pPr>
              <w:rPr>
                <w:rFonts w:eastAsia="Times New Roman"/>
                <w:color w:val="222222"/>
              </w:rPr>
            </w:pPr>
            <w:r w:rsidRPr="00ED0E0F">
              <w:rPr>
                <w:rFonts w:eastAsia="Times New Roman"/>
                <w:color w:val="222222"/>
              </w:rPr>
              <w:t>1960 to 1969</w:t>
            </w:r>
          </w:p>
        </w:tc>
        <w:tc>
          <w:tcPr>
            <w:tcW w:w="1662" w:type="dxa"/>
            <w:tcBorders>
              <w:top w:val="nil"/>
              <w:left w:val="nil"/>
              <w:bottom w:val="nil"/>
              <w:right w:val="nil"/>
            </w:tcBorders>
            <w:shd w:val="clear" w:color="auto" w:fill="auto"/>
            <w:noWrap/>
            <w:vAlign w:val="bottom"/>
            <w:hideMark/>
          </w:tcPr>
          <w:p w14:paraId="7289D5C2" w14:textId="77777777" w:rsidR="00D4428E" w:rsidRPr="00ED0E0F" w:rsidRDefault="00D4428E" w:rsidP="003E4D50">
            <w:pPr>
              <w:rPr>
                <w:rFonts w:eastAsia="Times New Roman"/>
                <w:color w:val="222222"/>
              </w:rPr>
            </w:pPr>
            <w:r w:rsidRPr="00ED0E0F">
              <w:rPr>
                <w:rFonts w:eastAsia="Times New Roman"/>
                <w:color w:val="222222"/>
              </w:rPr>
              <w:t>293</w:t>
            </w:r>
          </w:p>
        </w:tc>
        <w:tc>
          <w:tcPr>
            <w:tcW w:w="1662" w:type="dxa"/>
            <w:tcBorders>
              <w:top w:val="nil"/>
              <w:left w:val="nil"/>
              <w:bottom w:val="nil"/>
              <w:right w:val="nil"/>
            </w:tcBorders>
            <w:shd w:val="clear" w:color="auto" w:fill="auto"/>
            <w:noWrap/>
            <w:vAlign w:val="bottom"/>
            <w:hideMark/>
          </w:tcPr>
          <w:p w14:paraId="2CDA6059" w14:textId="77777777" w:rsidR="00D4428E" w:rsidRPr="00ED0E0F" w:rsidRDefault="00D4428E" w:rsidP="003E4D50">
            <w:pPr>
              <w:rPr>
                <w:rFonts w:eastAsia="Times New Roman"/>
                <w:color w:val="222222"/>
              </w:rPr>
            </w:pPr>
            <w:r w:rsidRPr="00ED0E0F">
              <w:rPr>
                <w:rFonts w:eastAsia="Times New Roman"/>
                <w:color w:val="222222"/>
              </w:rPr>
              <w:t>527</w:t>
            </w:r>
          </w:p>
        </w:tc>
      </w:tr>
      <w:tr w:rsidR="00D4428E" w:rsidRPr="00ED0E0F" w14:paraId="2E623EC0" w14:textId="77777777" w:rsidTr="003E4D50">
        <w:trPr>
          <w:trHeight w:val="328"/>
        </w:trPr>
        <w:tc>
          <w:tcPr>
            <w:tcW w:w="2886" w:type="dxa"/>
            <w:tcBorders>
              <w:top w:val="nil"/>
              <w:left w:val="nil"/>
              <w:bottom w:val="nil"/>
              <w:right w:val="nil"/>
            </w:tcBorders>
            <w:shd w:val="clear" w:color="auto" w:fill="auto"/>
            <w:noWrap/>
            <w:vAlign w:val="bottom"/>
            <w:hideMark/>
          </w:tcPr>
          <w:p w14:paraId="669EFE92" w14:textId="77777777" w:rsidR="00D4428E" w:rsidRPr="00ED0E0F" w:rsidRDefault="00D4428E" w:rsidP="003E4D50">
            <w:pPr>
              <w:rPr>
                <w:rFonts w:eastAsia="Times New Roman"/>
                <w:color w:val="222222"/>
              </w:rPr>
            </w:pPr>
            <w:r w:rsidRPr="00ED0E0F">
              <w:rPr>
                <w:rFonts w:eastAsia="Times New Roman"/>
                <w:color w:val="222222"/>
              </w:rPr>
              <w:t xml:space="preserve"> 1950 to 1959</w:t>
            </w:r>
          </w:p>
        </w:tc>
        <w:tc>
          <w:tcPr>
            <w:tcW w:w="1662" w:type="dxa"/>
            <w:tcBorders>
              <w:top w:val="nil"/>
              <w:left w:val="nil"/>
              <w:bottom w:val="nil"/>
              <w:right w:val="nil"/>
            </w:tcBorders>
            <w:shd w:val="clear" w:color="auto" w:fill="auto"/>
            <w:noWrap/>
            <w:vAlign w:val="bottom"/>
            <w:hideMark/>
          </w:tcPr>
          <w:p w14:paraId="7C990392" w14:textId="77777777" w:rsidR="00D4428E" w:rsidRPr="00ED0E0F" w:rsidRDefault="00D4428E" w:rsidP="003E4D50">
            <w:pPr>
              <w:rPr>
                <w:rFonts w:eastAsia="Times New Roman"/>
                <w:color w:val="222222"/>
              </w:rPr>
            </w:pPr>
            <w:r w:rsidRPr="00ED0E0F">
              <w:rPr>
                <w:rFonts w:eastAsia="Times New Roman"/>
                <w:color w:val="222222"/>
              </w:rPr>
              <w:t>358</w:t>
            </w:r>
          </w:p>
        </w:tc>
        <w:tc>
          <w:tcPr>
            <w:tcW w:w="1662" w:type="dxa"/>
            <w:tcBorders>
              <w:top w:val="nil"/>
              <w:left w:val="nil"/>
              <w:bottom w:val="nil"/>
              <w:right w:val="nil"/>
            </w:tcBorders>
            <w:shd w:val="clear" w:color="auto" w:fill="auto"/>
            <w:noWrap/>
            <w:vAlign w:val="bottom"/>
            <w:hideMark/>
          </w:tcPr>
          <w:p w14:paraId="152B04C2" w14:textId="77777777" w:rsidR="00D4428E" w:rsidRPr="00ED0E0F" w:rsidRDefault="00D4428E" w:rsidP="003E4D50">
            <w:pPr>
              <w:rPr>
                <w:rFonts w:eastAsia="Times New Roman"/>
                <w:color w:val="222222"/>
              </w:rPr>
            </w:pPr>
            <w:r w:rsidRPr="00ED0E0F">
              <w:rPr>
                <w:rFonts w:eastAsia="Times New Roman"/>
                <w:color w:val="222222"/>
              </w:rPr>
              <w:t>510</w:t>
            </w:r>
          </w:p>
        </w:tc>
      </w:tr>
      <w:tr w:rsidR="00D4428E" w:rsidRPr="00ED0E0F" w14:paraId="448CA284" w14:textId="77777777" w:rsidTr="003E4D50">
        <w:trPr>
          <w:trHeight w:val="328"/>
        </w:trPr>
        <w:tc>
          <w:tcPr>
            <w:tcW w:w="2886" w:type="dxa"/>
            <w:tcBorders>
              <w:top w:val="nil"/>
              <w:left w:val="nil"/>
              <w:bottom w:val="nil"/>
              <w:right w:val="nil"/>
            </w:tcBorders>
            <w:shd w:val="clear" w:color="auto" w:fill="auto"/>
            <w:noWrap/>
            <w:vAlign w:val="bottom"/>
            <w:hideMark/>
          </w:tcPr>
          <w:p w14:paraId="0A0E0F0A" w14:textId="77777777" w:rsidR="00D4428E" w:rsidRPr="00ED0E0F" w:rsidRDefault="00D4428E" w:rsidP="003E4D50">
            <w:pPr>
              <w:rPr>
                <w:rFonts w:eastAsia="Times New Roman"/>
                <w:color w:val="222222"/>
              </w:rPr>
            </w:pPr>
            <w:r w:rsidRPr="00ED0E0F">
              <w:rPr>
                <w:rFonts w:eastAsia="Times New Roman"/>
                <w:color w:val="222222"/>
              </w:rPr>
              <w:t>1940 to 1949</w:t>
            </w:r>
          </w:p>
        </w:tc>
        <w:tc>
          <w:tcPr>
            <w:tcW w:w="1662" w:type="dxa"/>
            <w:tcBorders>
              <w:top w:val="nil"/>
              <w:left w:val="nil"/>
              <w:bottom w:val="nil"/>
              <w:right w:val="nil"/>
            </w:tcBorders>
            <w:shd w:val="clear" w:color="auto" w:fill="auto"/>
            <w:noWrap/>
            <w:vAlign w:val="bottom"/>
            <w:hideMark/>
          </w:tcPr>
          <w:p w14:paraId="5863AA74" w14:textId="77777777" w:rsidR="00D4428E" w:rsidRPr="00ED0E0F" w:rsidRDefault="00D4428E" w:rsidP="003E4D50">
            <w:pPr>
              <w:rPr>
                <w:rFonts w:eastAsia="Times New Roman"/>
                <w:color w:val="222222"/>
              </w:rPr>
            </w:pPr>
            <w:r w:rsidRPr="00ED0E0F">
              <w:rPr>
                <w:rFonts w:eastAsia="Times New Roman"/>
                <w:color w:val="222222"/>
              </w:rPr>
              <w:t>200</w:t>
            </w:r>
          </w:p>
        </w:tc>
        <w:tc>
          <w:tcPr>
            <w:tcW w:w="1662" w:type="dxa"/>
            <w:tcBorders>
              <w:top w:val="nil"/>
              <w:left w:val="nil"/>
              <w:bottom w:val="nil"/>
              <w:right w:val="nil"/>
            </w:tcBorders>
            <w:shd w:val="clear" w:color="auto" w:fill="auto"/>
            <w:noWrap/>
            <w:vAlign w:val="bottom"/>
            <w:hideMark/>
          </w:tcPr>
          <w:p w14:paraId="028F0A59" w14:textId="77777777" w:rsidR="00D4428E" w:rsidRPr="00ED0E0F" w:rsidRDefault="00D4428E" w:rsidP="003E4D50">
            <w:pPr>
              <w:rPr>
                <w:rFonts w:eastAsia="Times New Roman"/>
                <w:color w:val="222222"/>
              </w:rPr>
            </w:pPr>
            <w:r w:rsidRPr="00ED0E0F">
              <w:rPr>
                <w:rFonts w:eastAsia="Times New Roman"/>
                <w:color w:val="222222"/>
              </w:rPr>
              <w:t>359</w:t>
            </w:r>
          </w:p>
        </w:tc>
      </w:tr>
      <w:tr w:rsidR="00D4428E" w:rsidRPr="00ED0E0F" w14:paraId="02358660" w14:textId="77777777" w:rsidTr="003E4D50">
        <w:trPr>
          <w:trHeight w:val="328"/>
        </w:trPr>
        <w:tc>
          <w:tcPr>
            <w:tcW w:w="2886" w:type="dxa"/>
            <w:tcBorders>
              <w:top w:val="nil"/>
              <w:left w:val="nil"/>
              <w:bottom w:val="nil"/>
              <w:right w:val="nil"/>
            </w:tcBorders>
            <w:shd w:val="clear" w:color="auto" w:fill="auto"/>
            <w:noWrap/>
            <w:vAlign w:val="bottom"/>
            <w:hideMark/>
          </w:tcPr>
          <w:p w14:paraId="624385E8" w14:textId="77777777" w:rsidR="00D4428E" w:rsidRPr="00ED0E0F" w:rsidRDefault="00D4428E" w:rsidP="003E4D50">
            <w:pPr>
              <w:rPr>
                <w:rFonts w:eastAsia="Times New Roman"/>
                <w:color w:val="000000"/>
              </w:rPr>
            </w:pPr>
            <w:r w:rsidRPr="00ED0E0F">
              <w:rPr>
                <w:rFonts w:eastAsia="Times New Roman"/>
                <w:color w:val="000000"/>
              </w:rPr>
              <w:t xml:space="preserve"> 1939 or earlier</w:t>
            </w:r>
          </w:p>
        </w:tc>
        <w:tc>
          <w:tcPr>
            <w:tcW w:w="1662" w:type="dxa"/>
            <w:tcBorders>
              <w:top w:val="nil"/>
              <w:left w:val="nil"/>
              <w:bottom w:val="nil"/>
              <w:right w:val="nil"/>
            </w:tcBorders>
            <w:shd w:val="clear" w:color="auto" w:fill="auto"/>
            <w:noWrap/>
            <w:vAlign w:val="bottom"/>
            <w:hideMark/>
          </w:tcPr>
          <w:p w14:paraId="537511F6" w14:textId="77777777" w:rsidR="00D4428E" w:rsidRPr="00ED0E0F" w:rsidRDefault="00D4428E" w:rsidP="003E4D50">
            <w:pPr>
              <w:rPr>
                <w:rFonts w:eastAsia="Times New Roman"/>
                <w:color w:val="000000"/>
              </w:rPr>
            </w:pPr>
            <w:r w:rsidRPr="00ED0E0F">
              <w:rPr>
                <w:rFonts w:eastAsia="Times New Roman"/>
                <w:color w:val="000000"/>
              </w:rPr>
              <w:t>485</w:t>
            </w:r>
          </w:p>
        </w:tc>
        <w:tc>
          <w:tcPr>
            <w:tcW w:w="1662" w:type="dxa"/>
            <w:tcBorders>
              <w:top w:val="nil"/>
              <w:left w:val="nil"/>
              <w:bottom w:val="nil"/>
              <w:right w:val="nil"/>
            </w:tcBorders>
            <w:shd w:val="clear" w:color="auto" w:fill="auto"/>
            <w:noWrap/>
            <w:vAlign w:val="bottom"/>
            <w:hideMark/>
          </w:tcPr>
          <w:p w14:paraId="4D3EEDCC" w14:textId="77777777" w:rsidR="00D4428E" w:rsidRPr="00ED0E0F" w:rsidRDefault="00D4428E" w:rsidP="003E4D50">
            <w:pPr>
              <w:rPr>
                <w:rFonts w:eastAsia="Times New Roman"/>
                <w:color w:val="222222"/>
              </w:rPr>
            </w:pPr>
            <w:r w:rsidRPr="00ED0E0F">
              <w:rPr>
                <w:rFonts w:eastAsia="Times New Roman"/>
                <w:color w:val="222222"/>
              </w:rPr>
              <w:t>1,175</w:t>
            </w:r>
          </w:p>
        </w:tc>
      </w:tr>
      <w:tr w:rsidR="00D4428E" w:rsidRPr="00ED0E0F" w14:paraId="57C61264" w14:textId="77777777" w:rsidTr="003E4D50">
        <w:trPr>
          <w:trHeight w:val="328"/>
        </w:trPr>
        <w:tc>
          <w:tcPr>
            <w:tcW w:w="2886" w:type="dxa"/>
            <w:tcBorders>
              <w:top w:val="nil"/>
              <w:left w:val="nil"/>
              <w:bottom w:val="nil"/>
              <w:right w:val="nil"/>
            </w:tcBorders>
            <w:shd w:val="clear" w:color="auto" w:fill="auto"/>
            <w:noWrap/>
            <w:vAlign w:val="bottom"/>
            <w:hideMark/>
          </w:tcPr>
          <w:p w14:paraId="5A70CD7E" w14:textId="77777777" w:rsidR="00D4428E" w:rsidRPr="00ED0E0F" w:rsidRDefault="00D4428E" w:rsidP="003E4D50">
            <w:pPr>
              <w:rPr>
                <w:rFonts w:eastAsia="Times New Roman"/>
                <w:color w:val="222222"/>
              </w:rPr>
            </w:pPr>
            <w:r w:rsidRPr="00ED0E0F">
              <w:rPr>
                <w:rFonts w:eastAsia="Times New Roman"/>
                <w:color w:val="222222"/>
              </w:rPr>
              <w:t>Total</w:t>
            </w:r>
          </w:p>
        </w:tc>
        <w:tc>
          <w:tcPr>
            <w:tcW w:w="1662" w:type="dxa"/>
            <w:tcBorders>
              <w:top w:val="nil"/>
              <w:left w:val="nil"/>
              <w:bottom w:val="nil"/>
              <w:right w:val="nil"/>
            </w:tcBorders>
            <w:shd w:val="clear" w:color="auto" w:fill="auto"/>
            <w:noWrap/>
            <w:vAlign w:val="bottom"/>
            <w:hideMark/>
          </w:tcPr>
          <w:p w14:paraId="34883298" w14:textId="77777777" w:rsidR="00D4428E" w:rsidRPr="00ED0E0F" w:rsidRDefault="00D4428E" w:rsidP="003E4D50">
            <w:pPr>
              <w:rPr>
                <w:rFonts w:eastAsia="Times New Roman"/>
                <w:color w:val="222222"/>
              </w:rPr>
            </w:pPr>
            <w:r w:rsidRPr="00ED0E0F">
              <w:rPr>
                <w:rFonts w:eastAsia="Times New Roman"/>
                <w:color w:val="222222"/>
              </w:rPr>
              <w:t>2,102</w:t>
            </w:r>
          </w:p>
        </w:tc>
        <w:tc>
          <w:tcPr>
            <w:tcW w:w="1662" w:type="dxa"/>
            <w:tcBorders>
              <w:top w:val="nil"/>
              <w:left w:val="nil"/>
              <w:bottom w:val="nil"/>
              <w:right w:val="nil"/>
            </w:tcBorders>
            <w:shd w:val="clear" w:color="auto" w:fill="auto"/>
            <w:noWrap/>
            <w:vAlign w:val="bottom"/>
            <w:hideMark/>
          </w:tcPr>
          <w:p w14:paraId="6809B733" w14:textId="77777777" w:rsidR="00D4428E" w:rsidRPr="00ED0E0F" w:rsidRDefault="00D4428E" w:rsidP="003E4D50">
            <w:pPr>
              <w:rPr>
                <w:rFonts w:eastAsia="Times New Roman"/>
                <w:color w:val="222222"/>
              </w:rPr>
            </w:pPr>
            <w:r w:rsidRPr="00ED0E0F">
              <w:rPr>
                <w:rFonts w:eastAsia="Times New Roman"/>
                <w:color w:val="222222"/>
              </w:rPr>
              <w:t>4,145</w:t>
            </w:r>
          </w:p>
        </w:tc>
      </w:tr>
    </w:tbl>
    <w:p w14:paraId="64BC71A0" w14:textId="77777777" w:rsidR="00D4428E" w:rsidRPr="00ED0E0F" w:rsidRDefault="00D4428E" w:rsidP="00D4428E"/>
    <w:p w14:paraId="2C5FE529" w14:textId="77777777" w:rsidR="00D4428E" w:rsidRPr="00ED0E0F" w:rsidRDefault="00D4428E" w:rsidP="00D4428E">
      <w:pPr>
        <w:rPr>
          <w:b/>
        </w:rPr>
      </w:pPr>
      <w:r w:rsidRPr="00ED0E0F">
        <w:rPr>
          <w:b/>
        </w:rPr>
        <w:t>Table 12: Education Attainment in Morris City 2010</w:t>
      </w:r>
    </w:p>
    <w:tbl>
      <w:tblPr>
        <w:tblW w:w="5648" w:type="dxa"/>
        <w:tblInd w:w="93" w:type="dxa"/>
        <w:tblLook w:val="04A0" w:firstRow="1" w:lastRow="0" w:firstColumn="1" w:lastColumn="0" w:noHBand="0" w:noVBand="1"/>
      </w:tblPr>
      <w:tblGrid>
        <w:gridCol w:w="4348"/>
        <w:gridCol w:w="1300"/>
      </w:tblGrid>
      <w:tr w:rsidR="00D4428E" w:rsidRPr="00ED0E0F" w14:paraId="541423DA" w14:textId="77777777" w:rsidTr="003E4D50">
        <w:trPr>
          <w:trHeight w:val="300"/>
        </w:trPr>
        <w:tc>
          <w:tcPr>
            <w:tcW w:w="4348" w:type="dxa"/>
            <w:tcBorders>
              <w:top w:val="nil"/>
              <w:left w:val="nil"/>
              <w:bottom w:val="nil"/>
              <w:right w:val="nil"/>
            </w:tcBorders>
            <w:shd w:val="clear" w:color="auto" w:fill="auto"/>
            <w:noWrap/>
            <w:vAlign w:val="bottom"/>
            <w:hideMark/>
          </w:tcPr>
          <w:p w14:paraId="75E72E28" w14:textId="77777777" w:rsidR="00D4428E" w:rsidRPr="00ED0E0F" w:rsidRDefault="00D4428E" w:rsidP="003E4D50">
            <w:pPr>
              <w:rPr>
                <w:rFonts w:eastAsia="Times New Roman"/>
                <w:color w:val="222222"/>
              </w:rPr>
            </w:pPr>
            <w:r w:rsidRPr="00ED0E0F">
              <w:rPr>
                <w:rFonts w:eastAsia="Times New Roman"/>
                <w:color w:val="222222"/>
              </w:rPr>
              <w:t>Less than 9th grade</w:t>
            </w:r>
          </w:p>
        </w:tc>
        <w:tc>
          <w:tcPr>
            <w:tcW w:w="1300" w:type="dxa"/>
            <w:tcBorders>
              <w:top w:val="nil"/>
              <w:left w:val="nil"/>
              <w:bottom w:val="nil"/>
              <w:right w:val="nil"/>
            </w:tcBorders>
            <w:shd w:val="clear" w:color="auto" w:fill="auto"/>
            <w:noWrap/>
            <w:vAlign w:val="bottom"/>
            <w:hideMark/>
          </w:tcPr>
          <w:p w14:paraId="40E2B3AF" w14:textId="77777777" w:rsidR="00D4428E" w:rsidRPr="00ED0E0F" w:rsidRDefault="00D4428E" w:rsidP="003E4D50">
            <w:pPr>
              <w:jc w:val="right"/>
              <w:rPr>
                <w:rFonts w:eastAsia="Times New Roman"/>
                <w:color w:val="222222"/>
              </w:rPr>
            </w:pPr>
            <w:r w:rsidRPr="00ED0E0F">
              <w:rPr>
                <w:rFonts w:eastAsia="Times New Roman"/>
                <w:color w:val="222222"/>
              </w:rPr>
              <w:t>242</w:t>
            </w:r>
          </w:p>
        </w:tc>
      </w:tr>
      <w:tr w:rsidR="00D4428E" w:rsidRPr="00ED0E0F" w14:paraId="0C220939" w14:textId="77777777" w:rsidTr="003E4D50">
        <w:trPr>
          <w:trHeight w:val="300"/>
        </w:trPr>
        <w:tc>
          <w:tcPr>
            <w:tcW w:w="4348" w:type="dxa"/>
            <w:tcBorders>
              <w:top w:val="nil"/>
              <w:left w:val="nil"/>
              <w:bottom w:val="nil"/>
              <w:right w:val="nil"/>
            </w:tcBorders>
            <w:shd w:val="clear" w:color="auto" w:fill="auto"/>
            <w:noWrap/>
            <w:vAlign w:val="bottom"/>
            <w:hideMark/>
          </w:tcPr>
          <w:p w14:paraId="23B055E3" w14:textId="77777777" w:rsidR="00D4428E" w:rsidRPr="00ED0E0F" w:rsidRDefault="00D4428E" w:rsidP="003E4D50">
            <w:pPr>
              <w:rPr>
                <w:rFonts w:eastAsia="Times New Roman"/>
                <w:color w:val="222222"/>
              </w:rPr>
            </w:pPr>
            <w:r w:rsidRPr="00ED0E0F">
              <w:rPr>
                <w:rFonts w:eastAsia="Times New Roman"/>
                <w:color w:val="222222"/>
              </w:rPr>
              <w:t>9th to 12th grade, no diploma</w:t>
            </w:r>
          </w:p>
        </w:tc>
        <w:tc>
          <w:tcPr>
            <w:tcW w:w="1300" w:type="dxa"/>
            <w:tcBorders>
              <w:top w:val="nil"/>
              <w:left w:val="nil"/>
              <w:bottom w:val="nil"/>
              <w:right w:val="nil"/>
            </w:tcBorders>
            <w:shd w:val="clear" w:color="auto" w:fill="auto"/>
            <w:noWrap/>
            <w:vAlign w:val="bottom"/>
            <w:hideMark/>
          </w:tcPr>
          <w:p w14:paraId="3EDBAA53" w14:textId="77777777" w:rsidR="00D4428E" w:rsidRPr="00ED0E0F" w:rsidRDefault="00D4428E" w:rsidP="003E4D50">
            <w:pPr>
              <w:jc w:val="right"/>
              <w:rPr>
                <w:rFonts w:eastAsia="Times New Roman"/>
                <w:color w:val="222222"/>
              </w:rPr>
            </w:pPr>
            <w:r w:rsidRPr="00ED0E0F">
              <w:rPr>
                <w:rFonts w:eastAsia="Times New Roman"/>
                <w:color w:val="222222"/>
              </w:rPr>
              <w:t>76</w:t>
            </w:r>
          </w:p>
        </w:tc>
      </w:tr>
      <w:tr w:rsidR="00D4428E" w:rsidRPr="00ED0E0F" w14:paraId="7C88500E" w14:textId="77777777" w:rsidTr="003E4D50">
        <w:trPr>
          <w:trHeight w:val="300"/>
        </w:trPr>
        <w:tc>
          <w:tcPr>
            <w:tcW w:w="4348" w:type="dxa"/>
            <w:tcBorders>
              <w:top w:val="nil"/>
              <w:left w:val="nil"/>
              <w:bottom w:val="nil"/>
              <w:right w:val="nil"/>
            </w:tcBorders>
            <w:shd w:val="clear" w:color="auto" w:fill="auto"/>
            <w:noWrap/>
            <w:vAlign w:val="bottom"/>
            <w:hideMark/>
          </w:tcPr>
          <w:p w14:paraId="10C885BC" w14:textId="77777777" w:rsidR="00D4428E" w:rsidRPr="00ED0E0F" w:rsidRDefault="00D4428E" w:rsidP="003E4D50">
            <w:pPr>
              <w:rPr>
                <w:rFonts w:eastAsia="Times New Roman"/>
                <w:color w:val="222222"/>
              </w:rPr>
            </w:pPr>
            <w:r w:rsidRPr="00ED0E0F">
              <w:rPr>
                <w:rFonts w:eastAsia="Times New Roman"/>
                <w:color w:val="222222"/>
              </w:rPr>
              <w:t>High school graduate (includes equivalency)</w:t>
            </w:r>
          </w:p>
        </w:tc>
        <w:tc>
          <w:tcPr>
            <w:tcW w:w="1300" w:type="dxa"/>
            <w:tcBorders>
              <w:top w:val="nil"/>
              <w:left w:val="nil"/>
              <w:bottom w:val="nil"/>
              <w:right w:val="nil"/>
            </w:tcBorders>
            <w:shd w:val="clear" w:color="auto" w:fill="auto"/>
            <w:noWrap/>
            <w:vAlign w:val="bottom"/>
            <w:hideMark/>
          </w:tcPr>
          <w:p w14:paraId="77BF2F59" w14:textId="77777777" w:rsidR="00D4428E" w:rsidRPr="00ED0E0F" w:rsidRDefault="00D4428E" w:rsidP="003E4D50">
            <w:pPr>
              <w:jc w:val="right"/>
              <w:rPr>
                <w:rFonts w:eastAsia="Times New Roman"/>
                <w:color w:val="222222"/>
              </w:rPr>
            </w:pPr>
            <w:r w:rsidRPr="00ED0E0F">
              <w:rPr>
                <w:rFonts w:eastAsia="Times New Roman"/>
                <w:color w:val="222222"/>
              </w:rPr>
              <w:t>1,155</w:t>
            </w:r>
          </w:p>
        </w:tc>
      </w:tr>
      <w:tr w:rsidR="00D4428E" w:rsidRPr="00ED0E0F" w14:paraId="4C241819" w14:textId="77777777" w:rsidTr="003E4D50">
        <w:trPr>
          <w:trHeight w:val="300"/>
        </w:trPr>
        <w:tc>
          <w:tcPr>
            <w:tcW w:w="4348" w:type="dxa"/>
            <w:tcBorders>
              <w:top w:val="nil"/>
              <w:left w:val="nil"/>
              <w:bottom w:val="nil"/>
              <w:right w:val="nil"/>
            </w:tcBorders>
            <w:shd w:val="clear" w:color="auto" w:fill="auto"/>
            <w:noWrap/>
            <w:vAlign w:val="bottom"/>
            <w:hideMark/>
          </w:tcPr>
          <w:p w14:paraId="14742A7D" w14:textId="77777777" w:rsidR="00D4428E" w:rsidRPr="00ED0E0F" w:rsidRDefault="00D4428E" w:rsidP="003E4D50">
            <w:pPr>
              <w:rPr>
                <w:rFonts w:eastAsia="Times New Roman"/>
                <w:color w:val="222222"/>
              </w:rPr>
            </w:pPr>
            <w:r w:rsidRPr="00ED0E0F">
              <w:rPr>
                <w:rFonts w:eastAsia="Times New Roman"/>
                <w:color w:val="222222"/>
              </w:rPr>
              <w:t>Some college, no degree</w:t>
            </w:r>
          </w:p>
        </w:tc>
        <w:tc>
          <w:tcPr>
            <w:tcW w:w="1300" w:type="dxa"/>
            <w:tcBorders>
              <w:top w:val="nil"/>
              <w:left w:val="nil"/>
              <w:bottom w:val="nil"/>
              <w:right w:val="nil"/>
            </w:tcBorders>
            <w:shd w:val="clear" w:color="auto" w:fill="auto"/>
            <w:noWrap/>
            <w:vAlign w:val="bottom"/>
            <w:hideMark/>
          </w:tcPr>
          <w:p w14:paraId="478ECB8F" w14:textId="77777777" w:rsidR="00D4428E" w:rsidRPr="00ED0E0F" w:rsidRDefault="00D4428E" w:rsidP="003E4D50">
            <w:pPr>
              <w:jc w:val="right"/>
              <w:rPr>
                <w:rFonts w:eastAsia="Times New Roman"/>
                <w:color w:val="222222"/>
              </w:rPr>
            </w:pPr>
            <w:r w:rsidRPr="00ED0E0F">
              <w:rPr>
                <w:rFonts w:eastAsia="Times New Roman"/>
                <w:color w:val="222222"/>
              </w:rPr>
              <w:t>570</w:t>
            </w:r>
          </w:p>
        </w:tc>
      </w:tr>
      <w:tr w:rsidR="00D4428E" w:rsidRPr="00ED0E0F" w14:paraId="02898C63" w14:textId="77777777" w:rsidTr="003E4D50">
        <w:trPr>
          <w:trHeight w:val="300"/>
        </w:trPr>
        <w:tc>
          <w:tcPr>
            <w:tcW w:w="4348" w:type="dxa"/>
            <w:tcBorders>
              <w:top w:val="nil"/>
              <w:left w:val="nil"/>
              <w:bottom w:val="nil"/>
              <w:right w:val="nil"/>
            </w:tcBorders>
            <w:shd w:val="clear" w:color="auto" w:fill="auto"/>
            <w:noWrap/>
            <w:vAlign w:val="bottom"/>
            <w:hideMark/>
          </w:tcPr>
          <w:p w14:paraId="1FBD472F" w14:textId="77777777" w:rsidR="00D4428E" w:rsidRPr="00ED0E0F" w:rsidRDefault="00D4428E" w:rsidP="003E4D50">
            <w:pPr>
              <w:rPr>
                <w:rFonts w:eastAsia="Times New Roman"/>
                <w:color w:val="222222"/>
              </w:rPr>
            </w:pPr>
            <w:r w:rsidRPr="00ED0E0F">
              <w:rPr>
                <w:rFonts w:eastAsia="Times New Roman"/>
                <w:color w:val="222222"/>
              </w:rPr>
              <w:t>Associate's degree</w:t>
            </w:r>
          </w:p>
        </w:tc>
        <w:tc>
          <w:tcPr>
            <w:tcW w:w="1300" w:type="dxa"/>
            <w:tcBorders>
              <w:top w:val="nil"/>
              <w:left w:val="nil"/>
              <w:bottom w:val="nil"/>
              <w:right w:val="nil"/>
            </w:tcBorders>
            <w:shd w:val="clear" w:color="auto" w:fill="auto"/>
            <w:noWrap/>
            <w:vAlign w:val="bottom"/>
            <w:hideMark/>
          </w:tcPr>
          <w:p w14:paraId="3B609038" w14:textId="77777777" w:rsidR="00D4428E" w:rsidRPr="00ED0E0F" w:rsidRDefault="00D4428E" w:rsidP="003E4D50">
            <w:pPr>
              <w:jc w:val="right"/>
              <w:rPr>
                <w:rFonts w:eastAsia="Times New Roman"/>
                <w:color w:val="222222"/>
              </w:rPr>
            </w:pPr>
            <w:r w:rsidRPr="00ED0E0F">
              <w:rPr>
                <w:rFonts w:eastAsia="Times New Roman"/>
                <w:color w:val="222222"/>
              </w:rPr>
              <w:t>193</w:t>
            </w:r>
          </w:p>
        </w:tc>
      </w:tr>
      <w:tr w:rsidR="00D4428E" w:rsidRPr="00ED0E0F" w14:paraId="6F874CA7" w14:textId="77777777" w:rsidTr="003E4D50">
        <w:trPr>
          <w:trHeight w:val="300"/>
        </w:trPr>
        <w:tc>
          <w:tcPr>
            <w:tcW w:w="4348" w:type="dxa"/>
            <w:tcBorders>
              <w:top w:val="nil"/>
              <w:left w:val="nil"/>
              <w:bottom w:val="nil"/>
              <w:right w:val="nil"/>
            </w:tcBorders>
            <w:shd w:val="clear" w:color="auto" w:fill="auto"/>
            <w:noWrap/>
            <w:vAlign w:val="bottom"/>
            <w:hideMark/>
          </w:tcPr>
          <w:p w14:paraId="71DB75D9" w14:textId="77777777" w:rsidR="00D4428E" w:rsidRPr="00ED0E0F" w:rsidRDefault="00D4428E" w:rsidP="003E4D50">
            <w:pPr>
              <w:rPr>
                <w:rFonts w:eastAsia="Times New Roman"/>
                <w:color w:val="222222"/>
              </w:rPr>
            </w:pPr>
            <w:r w:rsidRPr="00ED0E0F">
              <w:rPr>
                <w:rFonts w:eastAsia="Times New Roman"/>
                <w:color w:val="222222"/>
              </w:rPr>
              <w:t>Bachelor's degree</w:t>
            </w:r>
          </w:p>
        </w:tc>
        <w:tc>
          <w:tcPr>
            <w:tcW w:w="1300" w:type="dxa"/>
            <w:tcBorders>
              <w:top w:val="nil"/>
              <w:left w:val="nil"/>
              <w:bottom w:val="nil"/>
              <w:right w:val="nil"/>
            </w:tcBorders>
            <w:shd w:val="clear" w:color="auto" w:fill="auto"/>
            <w:noWrap/>
            <w:vAlign w:val="bottom"/>
            <w:hideMark/>
          </w:tcPr>
          <w:p w14:paraId="0B44F568" w14:textId="77777777" w:rsidR="00D4428E" w:rsidRPr="00ED0E0F" w:rsidRDefault="00D4428E" w:rsidP="003E4D50">
            <w:pPr>
              <w:jc w:val="right"/>
              <w:rPr>
                <w:rFonts w:eastAsia="Times New Roman"/>
                <w:color w:val="222222"/>
              </w:rPr>
            </w:pPr>
            <w:r w:rsidRPr="00ED0E0F">
              <w:rPr>
                <w:rFonts w:eastAsia="Times New Roman"/>
                <w:color w:val="222222"/>
              </w:rPr>
              <w:t>417</w:t>
            </w:r>
          </w:p>
        </w:tc>
      </w:tr>
      <w:tr w:rsidR="00D4428E" w:rsidRPr="00ED0E0F" w14:paraId="6BCB051E" w14:textId="77777777" w:rsidTr="003E4D50">
        <w:trPr>
          <w:trHeight w:val="300"/>
        </w:trPr>
        <w:tc>
          <w:tcPr>
            <w:tcW w:w="4348" w:type="dxa"/>
            <w:tcBorders>
              <w:top w:val="nil"/>
              <w:left w:val="nil"/>
              <w:bottom w:val="nil"/>
              <w:right w:val="nil"/>
            </w:tcBorders>
            <w:shd w:val="clear" w:color="auto" w:fill="auto"/>
            <w:noWrap/>
            <w:vAlign w:val="bottom"/>
            <w:hideMark/>
          </w:tcPr>
          <w:p w14:paraId="34949383" w14:textId="77777777" w:rsidR="00D4428E" w:rsidRPr="00ED0E0F" w:rsidRDefault="00D4428E" w:rsidP="003E4D50">
            <w:pPr>
              <w:rPr>
                <w:rFonts w:eastAsia="Times New Roman"/>
                <w:color w:val="222222"/>
              </w:rPr>
            </w:pPr>
            <w:r w:rsidRPr="00ED0E0F">
              <w:rPr>
                <w:rFonts w:eastAsia="Times New Roman"/>
                <w:color w:val="222222"/>
              </w:rPr>
              <w:t>Graduate or professional degree</w:t>
            </w:r>
          </w:p>
        </w:tc>
        <w:tc>
          <w:tcPr>
            <w:tcW w:w="1300" w:type="dxa"/>
            <w:tcBorders>
              <w:top w:val="nil"/>
              <w:left w:val="nil"/>
              <w:bottom w:val="nil"/>
              <w:right w:val="nil"/>
            </w:tcBorders>
            <w:shd w:val="clear" w:color="auto" w:fill="auto"/>
            <w:noWrap/>
            <w:vAlign w:val="bottom"/>
            <w:hideMark/>
          </w:tcPr>
          <w:p w14:paraId="42EBD158" w14:textId="77777777" w:rsidR="00D4428E" w:rsidRPr="00ED0E0F" w:rsidRDefault="00D4428E" w:rsidP="003E4D50">
            <w:pPr>
              <w:jc w:val="right"/>
              <w:rPr>
                <w:rFonts w:eastAsia="Times New Roman"/>
                <w:color w:val="222222"/>
              </w:rPr>
            </w:pPr>
            <w:r w:rsidRPr="00ED0E0F">
              <w:rPr>
                <w:rFonts w:eastAsia="Times New Roman"/>
                <w:color w:val="222222"/>
              </w:rPr>
              <w:t>314</w:t>
            </w:r>
          </w:p>
        </w:tc>
      </w:tr>
    </w:tbl>
    <w:p w14:paraId="66903C2B" w14:textId="77777777" w:rsidR="00D4428E" w:rsidRPr="00ED0E0F" w:rsidRDefault="00D4428E" w:rsidP="00D4428E"/>
    <w:p w14:paraId="46612998" w14:textId="77777777" w:rsidR="00D4428E" w:rsidRPr="00ED0E0F" w:rsidRDefault="00D4428E" w:rsidP="00D4428E"/>
    <w:p w14:paraId="18857C3F" w14:textId="77777777" w:rsidR="00D4428E" w:rsidRPr="00ED0E0F" w:rsidRDefault="00D4428E" w:rsidP="00D4428E"/>
    <w:p w14:paraId="53FC3010" w14:textId="77777777" w:rsidR="00D4428E" w:rsidRPr="00ED0E0F" w:rsidRDefault="00D4428E" w:rsidP="00D4428E"/>
    <w:p w14:paraId="22FEBCCE" w14:textId="1AD30A06" w:rsidR="00ED0E0F" w:rsidRPr="00ED0E0F" w:rsidRDefault="00ED0E0F" w:rsidP="00ED0E0F">
      <w:pPr>
        <w:rPr>
          <w:b/>
          <w:sz w:val="28"/>
          <w:szCs w:val="28"/>
        </w:rPr>
      </w:pPr>
      <w:r w:rsidRPr="00ED0E0F">
        <w:rPr>
          <w:b/>
          <w:sz w:val="28"/>
          <w:szCs w:val="28"/>
        </w:rPr>
        <w:t xml:space="preserve"> </w:t>
      </w:r>
    </w:p>
    <w:tbl>
      <w:tblPr>
        <w:tblpPr w:leftFromText="180" w:rightFromText="180" w:horzAnchor="page" w:tblpX="1810" w:tblpY="364"/>
        <w:tblW w:w="9557" w:type="dxa"/>
        <w:tblLook w:val="04A0" w:firstRow="1" w:lastRow="0" w:firstColumn="1" w:lastColumn="0" w:noHBand="0" w:noVBand="1"/>
      </w:tblPr>
      <w:tblGrid>
        <w:gridCol w:w="8438"/>
        <w:gridCol w:w="1119"/>
      </w:tblGrid>
      <w:tr w:rsidR="00ED0E0F" w:rsidRPr="00ED0E0F" w14:paraId="2AF18214" w14:textId="77777777" w:rsidTr="00F16F2C">
        <w:trPr>
          <w:trHeight w:val="305"/>
        </w:trPr>
        <w:tc>
          <w:tcPr>
            <w:tcW w:w="8438" w:type="dxa"/>
            <w:tcBorders>
              <w:top w:val="nil"/>
              <w:left w:val="nil"/>
              <w:bottom w:val="nil"/>
              <w:right w:val="nil"/>
            </w:tcBorders>
            <w:shd w:val="clear" w:color="auto" w:fill="auto"/>
            <w:noWrap/>
            <w:vAlign w:val="bottom"/>
          </w:tcPr>
          <w:p w14:paraId="0BD1556A" w14:textId="77777777" w:rsidR="00ED0E0F" w:rsidRPr="00ED0E0F" w:rsidRDefault="00ED0E0F" w:rsidP="00F16F2C">
            <w:pPr>
              <w:rPr>
                <w:rFonts w:eastAsia="Times New Roman"/>
                <w:bCs/>
                <w:color w:val="222222"/>
                <w:sz w:val="22"/>
                <w:szCs w:val="22"/>
              </w:rPr>
            </w:pPr>
          </w:p>
          <w:p w14:paraId="44E86E59" w14:textId="77777777" w:rsidR="00ED0E0F" w:rsidRPr="00ED0E0F" w:rsidRDefault="00ED0E0F" w:rsidP="00ED0E0F">
            <w:pPr>
              <w:rPr>
                <w:b/>
                <w:sz w:val="28"/>
                <w:szCs w:val="28"/>
              </w:rPr>
            </w:pPr>
            <w:r w:rsidRPr="00ED0E0F">
              <w:rPr>
                <w:b/>
                <w:sz w:val="28"/>
                <w:szCs w:val="28"/>
              </w:rPr>
              <w:t>Appendix B</w:t>
            </w:r>
          </w:p>
          <w:p w14:paraId="23DE1B89" w14:textId="77777777" w:rsidR="00ED0E0F" w:rsidRPr="00ED0E0F" w:rsidRDefault="00ED0E0F" w:rsidP="00ED0E0F">
            <w:pPr>
              <w:rPr>
                <w:b/>
                <w:sz w:val="28"/>
                <w:szCs w:val="28"/>
              </w:rPr>
            </w:pPr>
            <w:r w:rsidRPr="00ED0E0F">
              <w:rPr>
                <w:b/>
                <w:sz w:val="28"/>
                <w:szCs w:val="28"/>
              </w:rPr>
              <w:t xml:space="preserve">City f Morris Comprehensive Plan 2010 Updates </w:t>
            </w:r>
          </w:p>
          <w:p w14:paraId="78C6763B" w14:textId="25A354AD" w:rsidR="00ED0E0F" w:rsidRPr="00ED0E0F" w:rsidRDefault="00ED0E0F" w:rsidP="00F16F2C">
            <w:pPr>
              <w:rPr>
                <w:b/>
              </w:rPr>
            </w:pPr>
            <w:r w:rsidRPr="00ED0E0F">
              <w:rPr>
                <w:b/>
              </w:rPr>
              <w:t xml:space="preserve">     </w:t>
            </w:r>
          </w:p>
          <w:p w14:paraId="70B2B482" w14:textId="77777777" w:rsidR="00ED0E0F" w:rsidRPr="00ED0E0F" w:rsidRDefault="00ED0E0F" w:rsidP="00F16F2C">
            <w:pPr>
              <w:rPr>
                <w:b/>
              </w:rPr>
            </w:pPr>
            <w:r w:rsidRPr="00ED0E0F">
              <w:rPr>
                <w:b/>
              </w:rPr>
              <w:t xml:space="preserve"> </w:t>
            </w:r>
          </w:p>
          <w:p w14:paraId="06994D33" w14:textId="77777777" w:rsidR="00ED0E0F" w:rsidRPr="00ED0E0F" w:rsidRDefault="00ED0E0F" w:rsidP="00F16F2C">
            <w:pPr>
              <w:rPr>
                <w:b/>
              </w:rPr>
            </w:pPr>
            <w:r w:rsidRPr="00ED0E0F">
              <w:rPr>
                <w:b/>
              </w:rPr>
              <w:t xml:space="preserve">                   </w:t>
            </w:r>
          </w:p>
          <w:p w14:paraId="12C3E1D4" w14:textId="42334B9C" w:rsidR="00ED0E0F" w:rsidRPr="00ED0E0F" w:rsidRDefault="00ED0E0F" w:rsidP="00F16F2C">
            <w:pPr>
              <w:rPr>
                <w:b/>
              </w:rPr>
            </w:pPr>
            <w:r w:rsidRPr="00ED0E0F">
              <w:rPr>
                <w:b/>
              </w:rPr>
              <w:t xml:space="preserve"> Table 10</w:t>
            </w:r>
          </w:p>
          <w:p w14:paraId="7FBB4C91" w14:textId="77777777" w:rsidR="00ED0E0F" w:rsidRPr="00ED0E0F" w:rsidRDefault="00ED0E0F" w:rsidP="00F16F2C">
            <w:pPr>
              <w:rPr>
                <w:b/>
              </w:rPr>
            </w:pPr>
            <w:r w:rsidRPr="00ED0E0F">
              <w:rPr>
                <w:b/>
              </w:rPr>
              <w:t>Morris Household Income in 2010</w:t>
            </w:r>
          </w:p>
          <w:p w14:paraId="4F754C9D" w14:textId="77777777" w:rsidR="00ED0E0F" w:rsidRPr="00ED0E0F" w:rsidRDefault="00ED0E0F" w:rsidP="00F16F2C">
            <w:pPr>
              <w:rPr>
                <w:b/>
              </w:rPr>
            </w:pPr>
            <w:r w:rsidRPr="00ED0E0F">
              <w:rPr>
                <w:b/>
              </w:rPr>
              <w:t xml:space="preserve">                   (</w:t>
            </w:r>
            <w:proofErr w:type="gramStart"/>
            <w:r w:rsidRPr="00ED0E0F">
              <w:rPr>
                <w:b/>
              </w:rPr>
              <w:t>n</w:t>
            </w:r>
            <w:proofErr w:type="gramEnd"/>
            <w:r w:rsidRPr="00ED0E0F">
              <w:rPr>
                <w:b/>
              </w:rPr>
              <w:t>=1,931)</w:t>
            </w:r>
          </w:p>
          <w:tbl>
            <w:tblPr>
              <w:tblW w:w="3928" w:type="dxa"/>
              <w:tblInd w:w="124" w:type="dxa"/>
              <w:tblLook w:val="04A0" w:firstRow="1" w:lastRow="0" w:firstColumn="1" w:lastColumn="0" w:noHBand="0" w:noVBand="1"/>
            </w:tblPr>
            <w:tblGrid>
              <w:gridCol w:w="2439"/>
              <w:gridCol w:w="1489"/>
            </w:tblGrid>
            <w:tr w:rsidR="00ED0E0F" w:rsidRPr="00ED0E0F" w14:paraId="143A223F" w14:textId="77777777" w:rsidTr="00F16F2C">
              <w:trPr>
                <w:trHeight w:val="295"/>
              </w:trPr>
              <w:tc>
                <w:tcPr>
                  <w:tcW w:w="2439" w:type="dxa"/>
                  <w:tcBorders>
                    <w:top w:val="nil"/>
                    <w:left w:val="nil"/>
                    <w:bottom w:val="nil"/>
                    <w:right w:val="nil"/>
                  </w:tcBorders>
                  <w:shd w:val="clear" w:color="auto" w:fill="auto"/>
                  <w:noWrap/>
                  <w:vAlign w:val="bottom"/>
                  <w:hideMark/>
                </w:tcPr>
                <w:p w14:paraId="6208F947" w14:textId="77777777" w:rsidR="00ED0E0F" w:rsidRPr="00ED0E0F" w:rsidRDefault="00ED0E0F" w:rsidP="00F16F2C">
                  <w:pPr>
                    <w:framePr w:hSpace="180" w:wrap="around" w:hAnchor="page" w:x="1810" w:y="364"/>
                    <w:rPr>
                      <w:rFonts w:eastAsia="Times New Roman"/>
                      <w:bCs/>
                      <w:color w:val="222222"/>
                      <w:sz w:val="22"/>
                      <w:szCs w:val="22"/>
                    </w:rPr>
                  </w:pPr>
                </w:p>
                <w:p w14:paraId="0D4FF542" w14:textId="77777777" w:rsidR="00ED0E0F" w:rsidRPr="00ED0E0F" w:rsidRDefault="00ED0E0F" w:rsidP="00F16F2C">
                  <w:pPr>
                    <w:framePr w:hSpace="180" w:wrap="around" w:hAnchor="page" w:x="1810" w:y="364"/>
                    <w:rPr>
                      <w:rFonts w:eastAsia="Times New Roman"/>
                      <w:bCs/>
                      <w:color w:val="222222"/>
                      <w:sz w:val="22"/>
                      <w:szCs w:val="22"/>
                    </w:rPr>
                  </w:pPr>
                  <w:r w:rsidRPr="00ED0E0F">
                    <w:rPr>
                      <w:rFonts w:eastAsia="Times New Roman"/>
                      <w:bCs/>
                      <w:color w:val="222222"/>
                      <w:sz w:val="22"/>
                      <w:szCs w:val="22"/>
                    </w:rPr>
                    <w:t>Less than $10,000</w:t>
                  </w:r>
                </w:p>
              </w:tc>
              <w:tc>
                <w:tcPr>
                  <w:tcW w:w="1489" w:type="dxa"/>
                  <w:tcBorders>
                    <w:top w:val="nil"/>
                    <w:left w:val="nil"/>
                    <w:bottom w:val="nil"/>
                    <w:right w:val="nil"/>
                  </w:tcBorders>
                  <w:shd w:val="clear" w:color="auto" w:fill="auto"/>
                  <w:noWrap/>
                  <w:vAlign w:val="bottom"/>
                  <w:hideMark/>
                </w:tcPr>
                <w:p w14:paraId="4F809DFF" w14:textId="77777777" w:rsidR="00ED0E0F" w:rsidRPr="00ED0E0F" w:rsidRDefault="00ED0E0F" w:rsidP="00F16F2C">
                  <w:pPr>
                    <w:framePr w:hSpace="180" w:wrap="around" w:hAnchor="page" w:x="1810" w:y="364"/>
                    <w:jc w:val="right"/>
                    <w:rPr>
                      <w:rFonts w:eastAsia="Times New Roman"/>
                      <w:color w:val="222222"/>
                      <w:sz w:val="22"/>
                      <w:szCs w:val="22"/>
                    </w:rPr>
                  </w:pPr>
                  <w:r w:rsidRPr="00ED0E0F">
                    <w:rPr>
                      <w:rFonts w:eastAsia="Times New Roman"/>
                      <w:color w:val="222222"/>
                      <w:sz w:val="22"/>
                      <w:szCs w:val="22"/>
                    </w:rPr>
                    <w:t>258</w:t>
                  </w:r>
                </w:p>
              </w:tc>
            </w:tr>
            <w:tr w:rsidR="00ED0E0F" w:rsidRPr="00ED0E0F" w14:paraId="58A5B2B5" w14:textId="77777777" w:rsidTr="00F16F2C">
              <w:trPr>
                <w:trHeight w:val="295"/>
              </w:trPr>
              <w:tc>
                <w:tcPr>
                  <w:tcW w:w="2439" w:type="dxa"/>
                  <w:tcBorders>
                    <w:top w:val="nil"/>
                    <w:left w:val="nil"/>
                    <w:bottom w:val="nil"/>
                    <w:right w:val="nil"/>
                  </w:tcBorders>
                  <w:shd w:val="clear" w:color="auto" w:fill="auto"/>
                  <w:noWrap/>
                  <w:vAlign w:val="bottom"/>
                  <w:hideMark/>
                </w:tcPr>
                <w:p w14:paraId="15407FDD" w14:textId="77777777" w:rsidR="00ED0E0F" w:rsidRPr="00ED0E0F" w:rsidRDefault="00ED0E0F" w:rsidP="00F16F2C">
                  <w:pPr>
                    <w:framePr w:hSpace="180" w:wrap="around" w:hAnchor="page" w:x="1810" w:y="364"/>
                    <w:rPr>
                      <w:rFonts w:eastAsia="Times New Roman"/>
                      <w:bCs/>
                      <w:color w:val="222222"/>
                      <w:sz w:val="22"/>
                      <w:szCs w:val="22"/>
                    </w:rPr>
                  </w:pPr>
                  <w:r w:rsidRPr="00ED0E0F">
                    <w:rPr>
                      <w:rFonts w:eastAsia="Times New Roman"/>
                      <w:bCs/>
                      <w:color w:val="222222"/>
                      <w:sz w:val="22"/>
                      <w:szCs w:val="22"/>
                    </w:rPr>
                    <w:t>$10,000 to $14,999</w:t>
                  </w:r>
                </w:p>
              </w:tc>
              <w:tc>
                <w:tcPr>
                  <w:tcW w:w="1489" w:type="dxa"/>
                  <w:tcBorders>
                    <w:top w:val="nil"/>
                    <w:left w:val="nil"/>
                    <w:bottom w:val="nil"/>
                    <w:right w:val="nil"/>
                  </w:tcBorders>
                  <w:shd w:val="clear" w:color="auto" w:fill="auto"/>
                  <w:noWrap/>
                  <w:vAlign w:val="bottom"/>
                  <w:hideMark/>
                </w:tcPr>
                <w:p w14:paraId="667604DE" w14:textId="77777777" w:rsidR="00ED0E0F" w:rsidRPr="00ED0E0F" w:rsidRDefault="00ED0E0F" w:rsidP="00F16F2C">
                  <w:pPr>
                    <w:framePr w:hSpace="180" w:wrap="around" w:hAnchor="page" w:x="1810" w:y="364"/>
                    <w:jc w:val="right"/>
                    <w:rPr>
                      <w:rFonts w:eastAsia="Times New Roman"/>
                      <w:color w:val="222222"/>
                      <w:sz w:val="22"/>
                      <w:szCs w:val="22"/>
                    </w:rPr>
                  </w:pPr>
                  <w:r w:rsidRPr="00ED0E0F">
                    <w:rPr>
                      <w:rFonts w:eastAsia="Times New Roman"/>
                      <w:color w:val="222222"/>
                      <w:sz w:val="22"/>
                      <w:szCs w:val="22"/>
                    </w:rPr>
                    <w:t>121</w:t>
                  </w:r>
                </w:p>
              </w:tc>
            </w:tr>
            <w:tr w:rsidR="00ED0E0F" w:rsidRPr="00ED0E0F" w14:paraId="0F10773C" w14:textId="77777777" w:rsidTr="00F16F2C">
              <w:trPr>
                <w:trHeight w:val="295"/>
              </w:trPr>
              <w:tc>
                <w:tcPr>
                  <w:tcW w:w="2439" w:type="dxa"/>
                  <w:tcBorders>
                    <w:top w:val="nil"/>
                    <w:left w:val="nil"/>
                    <w:bottom w:val="nil"/>
                    <w:right w:val="nil"/>
                  </w:tcBorders>
                  <w:shd w:val="clear" w:color="auto" w:fill="auto"/>
                  <w:noWrap/>
                  <w:vAlign w:val="bottom"/>
                  <w:hideMark/>
                </w:tcPr>
                <w:p w14:paraId="67C59F78" w14:textId="77777777" w:rsidR="00ED0E0F" w:rsidRPr="00ED0E0F" w:rsidRDefault="00ED0E0F" w:rsidP="00F16F2C">
                  <w:pPr>
                    <w:framePr w:hSpace="180" w:wrap="around" w:hAnchor="page" w:x="1810" w:y="364"/>
                    <w:rPr>
                      <w:rFonts w:eastAsia="Times New Roman"/>
                      <w:bCs/>
                      <w:color w:val="222222"/>
                      <w:sz w:val="22"/>
                      <w:szCs w:val="22"/>
                    </w:rPr>
                  </w:pPr>
                  <w:r w:rsidRPr="00ED0E0F">
                    <w:rPr>
                      <w:rFonts w:eastAsia="Times New Roman"/>
                      <w:bCs/>
                      <w:color w:val="222222"/>
                      <w:sz w:val="22"/>
                      <w:szCs w:val="22"/>
                    </w:rPr>
                    <w:t>$15,000 to $24,999</w:t>
                  </w:r>
                </w:p>
              </w:tc>
              <w:tc>
                <w:tcPr>
                  <w:tcW w:w="1489" w:type="dxa"/>
                  <w:tcBorders>
                    <w:top w:val="nil"/>
                    <w:left w:val="nil"/>
                    <w:bottom w:val="nil"/>
                    <w:right w:val="nil"/>
                  </w:tcBorders>
                  <w:shd w:val="clear" w:color="auto" w:fill="auto"/>
                  <w:noWrap/>
                  <w:vAlign w:val="bottom"/>
                  <w:hideMark/>
                </w:tcPr>
                <w:p w14:paraId="2383B701" w14:textId="77777777" w:rsidR="00ED0E0F" w:rsidRPr="00ED0E0F" w:rsidRDefault="00ED0E0F" w:rsidP="00F16F2C">
                  <w:pPr>
                    <w:framePr w:hSpace="180" w:wrap="around" w:hAnchor="page" w:x="1810" w:y="364"/>
                    <w:jc w:val="right"/>
                    <w:rPr>
                      <w:rFonts w:eastAsia="Times New Roman"/>
                      <w:color w:val="222222"/>
                      <w:sz w:val="22"/>
                      <w:szCs w:val="22"/>
                    </w:rPr>
                  </w:pPr>
                  <w:r w:rsidRPr="00ED0E0F">
                    <w:rPr>
                      <w:rFonts w:eastAsia="Times New Roman"/>
                      <w:color w:val="222222"/>
                      <w:sz w:val="22"/>
                      <w:szCs w:val="22"/>
                    </w:rPr>
                    <w:t>301</w:t>
                  </w:r>
                </w:p>
              </w:tc>
            </w:tr>
            <w:tr w:rsidR="00ED0E0F" w:rsidRPr="00ED0E0F" w14:paraId="4ECFA8DE" w14:textId="77777777" w:rsidTr="00F16F2C">
              <w:trPr>
                <w:trHeight w:val="295"/>
              </w:trPr>
              <w:tc>
                <w:tcPr>
                  <w:tcW w:w="2439" w:type="dxa"/>
                  <w:tcBorders>
                    <w:top w:val="nil"/>
                    <w:left w:val="nil"/>
                    <w:bottom w:val="nil"/>
                    <w:right w:val="nil"/>
                  </w:tcBorders>
                  <w:shd w:val="clear" w:color="auto" w:fill="auto"/>
                  <w:noWrap/>
                  <w:vAlign w:val="bottom"/>
                  <w:hideMark/>
                </w:tcPr>
                <w:p w14:paraId="05BAF26C" w14:textId="77777777" w:rsidR="00ED0E0F" w:rsidRPr="00ED0E0F" w:rsidRDefault="00ED0E0F" w:rsidP="00F16F2C">
                  <w:pPr>
                    <w:framePr w:hSpace="180" w:wrap="around" w:hAnchor="page" w:x="1810" w:y="364"/>
                    <w:rPr>
                      <w:rFonts w:eastAsia="Times New Roman"/>
                      <w:bCs/>
                      <w:color w:val="222222"/>
                      <w:sz w:val="22"/>
                      <w:szCs w:val="22"/>
                    </w:rPr>
                  </w:pPr>
                  <w:r w:rsidRPr="00ED0E0F">
                    <w:rPr>
                      <w:rFonts w:eastAsia="Times New Roman"/>
                      <w:bCs/>
                      <w:color w:val="222222"/>
                      <w:sz w:val="22"/>
                      <w:szCs w:val="22"/>
                    </w:rPr>
                    <w:t>$25,000 to $34,999</w:t>
                  </w:r>
                </w:p>
              </w:tc>
              <w:tc>
                <w:tcPr>
                  <w:tcW w:w="1489" w:type="dxa"/>
                  <w:tcBorders>
                    <w:top w:val="nil"/>
                    <w:left w:val="nil"/>
                    <w:bottom w:val="nil"/>
                    <w:right w:val="nil"/>
                  </w:tcBorders>
                  <w:shd w:val="clear" w:color="auto" w:fill="auto"/>
                  <w:noWrap/>
                  <w:vAlign w:val="bottom"/>
                  <w:hideMark/>
                </w:tcPr>
                <w:p w14:paraId="6FF2C07F" w14:textId="77777777" w:rsidR="00ED0E0F" w:rsidRPr="00ED0E0F" w:rsidRDefault="00ED0E0F" w:rsidP="00F16F2C">
                  <w:pPr>
                    <w:framePr w:hSpace="180" w:wrap="around" w:hAnchor="page" w:x="1810" w:y="364"/>
                    <w:jc w:val="right"/>
                    <w:rPr>
                      <w:rFonts w:eastAsia="Times New Roman"/>
                      <w:color w:val="222222"/>
                      <w:sz w:val="22"/>
                      <w:szCs w:val="22"/>
                    </w:rPr>
                  </w:pPr>
                  <w:r w:rsidRPr="00ED0E0F">
                    <w:rPr>
                      <w:rFonts w:eastAsia="Times New Roman"/>
                      <w:color w:val="222222"/>
                      <w:sz w:val="22"/>
                      <w:szCs w:val="22"/>
                    </w:rPr>
                    <w:t>237</w:t>
                  </w:r>
                </w:p>
              </w:tc>
            </w:tr>
            <w:tr w:rsidR="00ED0E0F" w:rsidRPr="00ED0E0F" w14:paraId="6D87F207" w14:textId="77777777" w:rsidTr="00F16F2C">
              <w:trPr>
                <w:trHeight w:val="295"/>
              </w:trPr>
              <w:tc>
                <w:tcPr>
                  <w:tcW w:w="2439" w:type="dxa"/>
                  <w:tcBorders>
                    <w:top w:val="nil"/>
                    <w:left w:val="nil"/>
                    <w:bottom w:val="nil"/>
                    <w:right w:val="nil"/>
                  </w:tcBorders>
                  <w:shd w:val="clear" w:color="auto" w:fill="auto"/>
                  <w:noWrap/>
                  <w:vAlign w:val="bottom"/>
                  <w:hideMark/>
                </w:tcPr>
                <w:p w14:paraId="0F8E39AC" w14:textId="77777777" w:rsidR="00ED0E0F" w:rsidRPr="00ED0E0F" w:rsidRDefault="00ED0E0F" w:rsidP="00F16F2C">
                  <w:pPr>
                    <w:framePr w:hSpace="180" w:wrap="around" w:hAnchor="page" w:x="1810" w:y="364"/>
                    <w:rPr>
                      <w:rFonts w:eastAsia="Times New Roman"/>
                      <w:bCs/>
                      <w:color w:val="222222"/>
                      <w:sz w:val="22"/>
                      <w:szCs w:val="22"/>
                    </w:rPr>
                  </w:pPr>
                  <w:r w:rsidRPr="00ED0E0F">
                    <w:rPr>
                      <w:rFonts w:eastAsia="Times New Roman"/>
                      <w:bCs/>
                      <w:color w:val="222222"/>
                      <w:sz w:val="22"/>
                      <w:szCs w:val="22"/>
                    </w:rPr>
                    <w:t>$35,000 to $49,999</w:t>
                  </w:r>
                </w:p>
              </w:tc>
              <w:tc>
                <w:tcPr>
                  <w:tcW w:w="1489" w:type="dxa"/>
                  <w:tcBorders>
                    <w:top w:val="nil"/>
                    <w:left w:val="nil"/>
                    <w:bottom w:val="nil"/>
                    <w:right w:val="nil"/>
                  </w:tcBorders>
                  <w:shd w:val="clear" w:color="auto" w:fill="auto"/>
                  <w:noWrap/>
                  <w:vAlign w:val="bottom"/>
                  <w:hideMark/>
                </w:tcPr>
                <w:p w14:paraId="5E4739F9" w14:textId="77777777" w:rsidR="00ED0E0F" w:rsidRPr="00ED0E0F" w:rsidRDefault="00ED0E0F" w:rsidP="00F16F2C">
                  <w:pPr>
                    <w:framePr w:hSpace="180" w:wrap="around" w:hAnchor="page" w:x="1810" w:y="364"/>
                    <w:jc w:val="right"/>
                    <w:rPr>
                      <w:rFonts w:eastAsia="Times New Roman"/>
                      <w:color w:val="222222"/>
                      <w:sz w:val="22"/>
                      <w:szCs w:val="22"/>
                    </w:rPr>
                  </w:pPr>
                  <w:r w:rsidRPr="00ED0E0F">
                    <w:rPr>
                      <w:rFonts w:eastAsia="Times New Roman"/>
                      <w:color w:val="222222"/>
                      <w:sz w:val="22"/>
                      <w:szCs w:val="22"/>
                    </w:rPr>
                    <w:t>222</w:t>
                  </w:r>
                </w:p>
              </w:tc>
            </w:tr>
            <w:tr w:rsidR="00ED0E0F" w:rsidRPr="00ED0E0F" w14:paraId="74724AC6" w14:textId="77777777" w:rsidTr="00F16F2C">
              <w:trPr>
                <w:trHeight w:val="295"/>
              </w:trPr>
              <w:tc>
                <w:tcPr>
                  <w:tcW w:w="2439" w:type="dxa"/>
                  <w:tcBorders>
                    <w:top w:val="nil"/>
                    <w:left w:val="nil"/>
                    <w:bottom w:val="nil"/>
                    <w:right w:val="nil"/>
                  </w:tcBorders>
                  <w:shd w:val="clear" w:color="auto" w:fill="auto"/>
                  <w:noWrap/>
                  <w:vAlign w:val="bottom"/>
                  <w:hideMark/>
                </w:tcPr>
                <w:p w14:paraId="135CD7F4" w14:textId="77777777" w:rsidR="00ED0E0F" w:rsidRPr="00ED0E0F" w:rsidRDefault="00ED0E0F" w:rsidP="00F16F2C">
                  <w:pPr>
                    <w:framePr w:hSpace="180" w:wrap="around" w:hAnchor="page" w:x="1810" w:y="364"/>
                    <w:rPr>
                      <w:rFonts w:eastAsia="Times New Roman"/>
                      <w:bCs/>
                      <w:color w:val="222222"/>
                      <w:sz w:val="22"/>
                      <w:szCs w:val="22"/>
                    </w:rPr>
                  </w:pPr>
                  <w:r w:rsidRPr="00ED0E0F">
                    <w:rPr>
                      <w:rFonts w:eastAsia="Times New Roman"/>
                      <w:bCs/>
                      <w:color w:val="222222"/>
                      <w:sz w:val="22"/>
                      <w:szCs w:val="22"/>
                    </w:rPr>
                    <w:t>$50,000 to $74,999</w:t>
                  </w:r>
                </w:p>
              </w:tc>
              <w:tc>
                <w:tcPr>
                  <w:tcW w:w="1489" w:type="dxa"/>
                  <w:tcBorders>
                    <w:top w:val="nil"/>
                    <w:left w:val="nil"/>
                    <w:bottom w:val="nil"/>
                    <w:right w:val="nil"/>
                  </w:tcBorders>
                  <w:shd w:val="clear" w:color="auto" w:fill="auto"/>
                  <w:noWrap/>
                  <w:vAlign w:val="bottom"/>
                  <w:hideMark/>
                </w:tcPr>
                <w:p w14:paraId="6BD56436" w14:textId="77777777" w:rsidR="00ED0E0F" w:rsidRPr="00ED0E0F" w:rsidRDefault="00ED0E0F" w:rsidP="00F16F2C">
                  <w:pPr>
                    <w:framePr w:hSpace="180" w:wrap="around" w:hAnchor="page" w:x="1810" w:y="364"/>
                    <w:jc w:val="right"/>
                    <w:rPr>
                      <w:rFonts w:eastAsia="Times New Roman"/>
                      <w:color w:val="222222"/>
                      <w:sz w:val="22"/>
                      <w:szCs w:val="22"/>
                    </w:rPr>
                  </w:pPr>
                  <w:r w:rsidRPr="00ED0E0F">
                    <w:rPr>
                      <w:rFonts w:eastAsia="Times New Roman"/>
                      <w:color w:val="222222"/>
                      <w:sz w:val="22"/>
                      <w:szCs w:val="22"/>
                    </w:rPr>
                    <w:t>307</w:t>
                  </w:r>
                </w:p>
              </w:tc>
            </w:tr>
            <w:tr w:rsidR="00ED0E0F" w:rsidRPr="00ED0E0F" w14:paraId="64D4F0EF" w14:textId="77777777" w:rsidTr="00F16F2C">
              <w:trPr>
                <w:trHeight w:val="295"/>
              </w:trPr>
              <w:tc>
                <w:tcPr>
                  <w:tcW w:w="2439" w:type="dxa"/>
                  <w:tcBorders>
                    <w:top w:val="nil"/>
                    <w:left w:val="nil"/>
                    <w:bottom w:val="nil"/>
                    <w:right w:val="nil"/>
                  </w:tcBorders>
                  <w:shd w:val="clear" w:color="auto" w:fill="auto"/>
                  <w:noWrap/>
                  <w:vAlign w:val="bottom"/>
                  <w:hideMark/>
                </w:tcPr>
                <w:p w14:paraId="5FAB8224" w14:textId="77777777" w:rsidR="00ED0E0F" w:rsidRPr="00ED0E0F" w:rsidRDefault="00ED0E0F" w:rsidP="00F16F2C">
                  <w:pPr>
                    <w:framePr w:hSpace="180" w:wrap="around" w:hAnchor="page" w:x="1810" w:y="364"/>
                    <w:rPr>
                      <w:rFonts w:eastAsia="Times New Roman"/>
                      <w:bCs/>
                      <w:color w:val="222222"/>
                      <w:sz w:val="22"/>
                      <w:szCs w:val="22"/>
                    </w:rPr>
                  </w:pPr>
                  <w:r w:rsidRPr="00ED0E0F">
                    <w:rPr>
                      <w:rFonts w:eastAsia="Times New Roman"/>
                      <w:bCs/>
                      <w:color w:val="222222"/>
                      <w:sz w:val="22"/>
                      <w:szCs w:val="22"/>
                    </w:rPr>
                    <w:t>$75,000 to $99,999</w:t>
                  </w:r>
                </w:p>
              </w:tc>
              <w:tc>
                <w:tcPr>
                  <w:tcW w:w="1489" w:type="dxa"/>
                  <w:tcBorders>
                    <w:top w:val="nil"/>
                    <w:left w:val="nil"/>
                    <w:bottom w:val="nil"/>
                    <w:right w:val="nil"/>
                  </w:tcBorders>
                  <w:shd w:val="clear" w:color="auto" w:fill="auto"/>
                  <w:noWrap/>
                  <w:vAlign w:val="bottom"/>
                  <w:hideMark/>
                </w:tcPr>
                <w:p w14:paraId="51AC94CA" w14:textId="77777777" w:rsidR="00ED0E0F" w:rsidRPr="00ED0E0F" w:rsidRDefault="00ED0E0F" w:rsidP="00F16F2C">
                  <w:pPr>
                    <w:framePr w:hSpace="180" w:wrap="around" w:hAnchor="page" w:x="1810" w:y="364"/>
                    <w:jc w:val="right"/>
                    <w:rPr>
                      <w:rFonts w:eastAsia="Times New Roman"/>
                      <w:color w:val="222222"/>
                      <w:sz w:val="22"/>
                      <w:szCs w:val="22"/>
                    </w:rPr>
                  </w:pPr>
                  <w:r w:rsidRPr="00ED0E0F">
                    <w:rPr>
                      <w:rFonts w:eastAsia="Times New Roman"/>
                      <w:color w:val="222222"/>
                      <w:sz w:val="22"/>
                      <w:szCs w:val="22"/>
                    </w:rPr>
                    <w:t>206</w:t>
                  </w:r>
                </w:p>
              </w:tc>
            </w:tr>
            <w:tr w:rsidR="00ED0E0F" w:rsidRPr="00ED0E0F" w14:paraId="6F6288D1" w14:textId="77777777" w:rsidTr="00F16F2C">
              <w:trPr>
                <w:trHeight w:val="295"/>
              </w:trPr>
              <w:tc>
                <w:tcPr>
                  <w:tcW w:w="2439" w:type="dxa"/>
                  <w:tcBorders>
                    <w:top w:val="nil"/>
                    <w:left w:val="nil"/>
                    <w:bottom w:val="nil"/>
                    <w:right w:val="nil"/>
                  </w:tcBorders>
                  <w:shd w:val="clear" w:color="auto" w:fill="auto"/>
                  <w:noWrap/>
                  <w:vAlign w:val="bottom"/>
                  <w:hideMark/>
                </w:tcPr>
                <w:p w14:paraId="582BDBB6" w14:textId="77777777" w:rsidR="00ED0E0F" w:rsidRPr="00ED0E0F" w:rsidRDefault="00ED0E0F" w:rsidP="00F16F2C">
                  <w:pPr>
                    <w:framePr w:hSpace="180" w:wrap="around" w:hAnchor="page" w:x="1810" w:y="364"/>
                    <w:rPr>
                      <w:rFonts w:eastAsia="Times New Roman"/>
                      <w:bCs/>
                      <w:color w:val="222222"/>
                      <w:sz w:val="22"/>
                      <w:szCs w:val="22"/>
                    </w:rPr>
                  </w:pPr>
                  <w:r w:rsidRPr="00ED0E0F">
                    <w:rPr>
                      <w:rFonts w:eastAsia="Times New Roman"/>
                      <w:bCs/>
                      <w:color w:val="222222"/>
                      <w:sz w:val="22"/>
                      <w:szCs w:val="22"/>
                    </w:rPr>
                    <w:t>$100,000 to$149,999</w:t>
                  </w:r>
                </w:p>
              </w:tc>
              <w:tc>
                <w:tcPr>
                  <w:tcW w:w="1489" w:type="dxa"/>
                  <w:tcBorders>
                    <w:top w:val="nil"/>
                    <w:left w:val="nil"/>
                    <w:bottom w:val="nil"/>
                    <w:right w:val="nil"/>
                  </w:tcBorders>
                  <w:shd w:val="clear" w:color="auto" w:fill="auto"/>
                  <w:noWrap/>
                  <w:vAlign w:val="bottom"/>
                  <w:hideMark/>
                </w:tcPr>
                <w:p w14:paraId="2598BB9F" w14:textId="77777777" w:rsidR="00ED0E0F" w:rsidRPr="00ED0E0F" w:rsidRDefault="00ED0E0F" w:rsidP="00F16F2C">
                  <w:pPr>
                    <w:framePr w:hSpace="180" w:wrap="around" w:hAnchor="page" w:x="1810" w:y="364"/>
                    <w:jc w:val="right"/>
                    <w:rPr>
                      <w:rFonts w:eastAsia="Times New Roman"/>
                      <w:color w:val="222222"/>
                      <w:sz w:val="22"/>
                      <w:szCs w:val="22"/>
                    </w:rPr>
                  </w:pPr>
                  <w:r w:rsidRPr="00ED0E0F">
                    <w:rPr>
                      <w:rFonts w:eastAsia="Times New Roman"/>
                      <w:color w:val="222222"/>
                      <w:sz w:val="22"/>
                      <w:szCs w:val="22"/>
                    </w:rPr>
                    <w:t>203</w:t>
                  </w:r>
                </w:p>
              </w:tc>
            </w:tr>
            <w:tr w:rsidR="00ED0E0F" w:rsidRPr="00ED0E0F" w14:paraId="71B3A4D1" w14:textId="77777777" w:rsidTr="00F16F2C">
              <w:trPr>
                <w:trHeight w:val="295"/>
              </w:trPr>
              <w:tc>
                <w:tcPr>
                  <w:tcW w:w="2439" w:type="dxa"/>
                  <w:tcBorders>
                    <w:top w:val="nil"/>
                    <w:left w:val="nil"/>
                    <w:bottom w:val="nil"/>
                    <w:right w:val="nil"/>
                  </w:tcBorders>
                  <w:shd w:val="clear" w:color="auto" w:fill="auto"/>
                  <w:noWrap/>
                  <w:vAlign w:val="bottom"/>
                  <w:hideMark/>
                </w:tcPr>
                <w:p w14:paraId="3227B3C3" w14:textId="77777777" w:rsidR="00ED0E0F" w:rsidRPr="00ED0E0F" w:rsidRDefault="00ED0E0F" w:rsidP="00F16F2C">
                  <w:pPr>
                    <w:framePr w:hSpace="180" w:wrap="around" w:hAnchor="page" w:x="1810" w:y="364"/>
                    <w:rPr>
                      <w:rFonts w:eastAsia="Times New Roman"/>
                      <w:bCs/>
                      <w:color w:val="222222"/>
                      <w:sz w:val="22"/>
                      <w:szCs w:val="22"/>
                    </w:rPr>
                  </w:pPr>
                  <w:r w:rsidRPr="00ED0E0F">
                    <w:rPr>
                      <w:rFonts w:eastAsia="Times New Roman"/>
                      <w:bCs/>
                      <w:color w:val="222222"/>
                      <w:sz w:val="22"/>
                      <w:szCs w:val="22"/>
                    </w:rPr>
                    <w:t>$150,000 to $199,999</w:t>
                  </w:r>
                </w:p>
              </w:tc>
              <w:tc>
                <w:tcPr>
                  <w:tcW w:w="1489" w:type="dxa"/>
                  <w:tcBorders>
                    <w:top w:val="nil"/>
                    <w:left w:val="nil"/>
                    <w:bottom w:val="nil"/>
                    <w:right w:val="nil"/>
                  </w:tcBorders>
                  <w:shd w:val="clear" w:color="auto" w:fill="auto"/>
                  <w:noWrap/>
                  <w:vAlign w:val="bottom"/>
                  <w:hideMark/>
                </w:tcPr>
                <w:p w14:paraId="382800CE" w14:textId="77777777" w:rsidR="00ED0E0F" w:rsidRPr="00ED0E0F" w:rsidRDefault="00ED0E0F" w:rsidP="00F16F2C">
                  <w:pPr>
                    <w:framePr w:hSpace="180" w:wrap="around" w:hAnchor="page" w:x="1810" w:y="364"/>
                    <w:jc w:val="right"/>
                    <w:rPr>
                      <w:rFonts w:eastAsia="Times New Roman"/>
                      <w:color w:val="222222"/>
                      <w:sz w:val="22"/>
                      <w:szCs w:val="22"/>
                    </w:rPr>
                  </w:pPr>
                  <w:r w:rsidRPr="00ED0E0F">
                    <w:rPr>
                      <w:rFonts w:eastAsia="Times New Roman"/>
                      <w:color w:val="222222"/>
                      <w:sz w:val="22"/>
                      <w:szCs w:val="22"/>
                    </w:rPr>
                    <w:t>39</w:t>
                  </w:r>
                </w:p>
              </w:tc>
            </w:tr>
            <w:tr w:rsidR="00ED0E0F" w:rsidRPr="00ED0E0F" w14:paraId="5F91D91D" w14:textId="77777777" w:rsidTr="00F16F2C">
              <w:trPr>
                <w:trHeight w:val="295"/>
              </w:trPr>
              <w:tc>
                <w:tcPr>
                  <w:tcW w:w="2439" w:type="dxa"/>
                  <w:tcBorders>
                    <w:top w:val="nil"/>
                    <w:left w:val="nil"/>
                    <w:bottom w:val="nil"/>
                    <w:right w:val="nil"/>
                  </w:tcBorders>
                  <w:shd w:val="clear" w:color="auto" w:fill="auto"/>
                  <w:noWrap/>
                  <w:vAlign w:val="bottom"/>
                  <w:hideMark/>
                </w:tcPr>
                <w:p w14:paraId="13C6D8CB" w14:textId="77777777" w:rsidR="00ED0E0F" w:rsidRPr="00ED0E0F" w:rsidRDefault="00ED0E0F" w:rsidP="00F16F2C">
                  <w:pPr>
                    <w:framePr w:hSpace="180" w:wrap="around" w:hAnchor="page" w:x="1810" w:y="364"/>
                    <w:rPr>
                      <w:rFonts w:eastAsia="Times New Roman"/>
                      <w:bCs/>
                      <w:color w:val="000000"/>
                      <w:sz w:val="22"/>
                      <w:szCs w:val="22"/>
                    </w:rPr>
                  </w:pPr>
                  <w:r w:rsidRPr="00ED0E0F">
                    <w:rPr>
                      <w:rFonts w:eastAsia="Times New Roman"/>
                      <w:bCs/>
                      <w:color w:val="000000"/>
                      <w:sz w:val="22"/>
                      <w:szCs w:val="22"/>
                    </w:rPr>
                    <w:t>$200,000 or more</w:t>
                  </w:r>
                </w:p>
              </w:tc>
              <w:tc>
                <w:tcPr>
                  <w:tcW w:w="1489" w:type="dxa"/>
                  <w:tcBorders>
                    <w:top w:val="nil"/>
                    <w:left w:val="nil"/>
                    <w:bottom w:val="nil"/>
                    <w:right w:val="nil"/>
                  </w:tcBorders>
                  <w:shd w:val="clear" w:color="auto" w:fill="auto"/>
                  <w:noWrap/>
                  <w:vAlign w:val="bottom"/>
                  <w:hideMark/>
                </w:tcPr>
                <w:p w14:paraId="4E77A8C1" w14:textId="77777777" w:rsidR="00ED0E0F" w:rsidRPr="00ED0E0F" w:rsidRDefault="00ED0E0F" w:rsidP="00F16F2C">
                  <w:pPr>
                    <w:framePr w:hSpace="180" w:wrap="around" w:hAnchor="page" w:x="1810" w:y="364"/>
                    <w:jc w:val="right"/>
                    <w:rPr>
                      <w:rFonts w:eastAsia="Times New Roman"/>
                      <w:color w:val="000000"/>
                      <w:sz w:val="22"/>
                      <w:szCs w:val="22"/>
                    </w:rPr>
                  </w:pPr>
                  <w:r w:rsidRPr="00ED0E0F">
                    <w:rPr>
                      <w:rFonts w:eastAsia="Times New Roman"/>
                      <w:color w:val="000000"/>
                      <w:sz w:val="22"/>
                      <w:szCs w:val="22"/>
                    </w:rPr>
                    <w:t>37</w:t>
                  </w:r>
                </w:p>
              </w:tc>
            </w:tr>
          </w:tbl>
          <w:p w14:paraId="7943280A" w14:textId="77777777" w:rsidR="00ED0E0F" w:rsidRPr="00ED0E0F" w:rsidRDefault="00ED0E0F" w:rsidP="00F16F2C"/>
          <w:p w14:paraId="2064072A" w14:textId="5544552B" w:rsidR="00ED0E0F" w:rsidRPr="00ED0E0F" w:rsidRDefault="00ED0E0F" w:rsidP="00F16F2C">
            <w:pPr>
              <w:rPr>
                <w:rFonts w:eastAsia="Times New Roman"/>
                <w:bCs/>
                <w:color w:val="222222"/>
                <w:sz w:val="22"/>
                <w:szCs w:val="22"/>
              </w:rPr>
            </w:pPr>
            <w:r w:rsidRPr="00ED0E0F">
              <w:rPr>
                <w:rFonts w:eastAsia="Times New Roman"/>
                <w:color w:val="222222"/>
                <w:sz w:val="22"/>
                <w:szCs w:val="22"/>
              </w:rPr>
              <w:t>The general median income for a household in Morris in 2010 was $38,511. As Table 10 indicates, 35.2% of households have</w:t>
            </w:r>
            <w:r>
              <w:rPr>
                <w:rFonts w:eastAsia="Times New Roman"/>
                <w:color w:val="222222"/>
                <w:sz w:val="22"/>
                <w:szCs w:val="22"/>
              </w:rPr>
              <w:t xml:space="preserve"> incomes </w:t>
            </w:r>
            <w:r w:rsidRPr="00ED0E0F">
              <w:rPr>
                <w:rFonts w:eastAsia="Times New Roman"/>
                <w:color w:val="222222"/>
                <w:sz w:val="22"/>
                <w:szCs w:val="22"/>
              </w:rPr>
              <w:t xml:space="preserve">under $34,999. </w:t>
            </w:r>
          </w:p>
          <w:p w14:paraId="38738FBB" w14:textId="77777777" w:rsidR="00ED0E0F" w:rsidRPr="00ED0E0F" w:rsidRDefault="00ED0E0F" w:rsidP="00F16F2C">
            <w:pPr>
              <w:rPr>
                <w:rFonts w:eastAsia="Times New Roman"/>
                <w:bCs/>
                <w:color w:val="222222"/>
                <w:sz w:val="22"/>
                <w:szCs w:val="22"/>
              </w:rPr>
            </w:pPr>
          </w:p>
          <w:p w14:paraId="445DB89F" w14:textId="77777777" w:rsidR="00ED0E0F" w:rsidRPr="00ED0E0F" w:rsidRDefault="00ED0E0F" w:rsidP="00F16F2C">
            <w:pPr>
              <w:rPr>
                <w:rFonts w:eastAsia="Times New Roman"/>
                <w:bCs/>
                <w:color w:val="222222"/>
                <w:sz w:val="22"/>
                <w:szCs w:val="22"/>
              </w:rPr>
            </w:pPr>
          </w:p>
          <w:p w14:paraId="5A8094BC" w14:textId="77777777" w:rsidR="00ED0E0F" w:rsidRPr="00ED0E0F" w:rsidRDefault="00ED0E0F" w:rsidP="00F16F2C">
            <w:pPr>
              <w:jc w:val="center"/>
              <w:rPr>
                <w:rFonts w:eastAsia="Times New Roman"/>
                <w:b/>
                <w:bCs/>
                <w:color w:val="222222"/>
                <w:sz w:val="22"/>
                <w:szCs w:val="22"/>
              </w:rPr>
            </w:pPr>
          </w:p>
          <w:p w14:paraId="11D6DC7F" w14:textId="77777777" w:rsidR="00ED0E0F" w:rsidRPr="00ED0E0F" w:rsidRDefault="00ED0E0F" w:rsidP="00F16F2C">
            <w:pPr>
              <w:jc w:val="center"/>
              <w:rPr>
                <w:rFonts w:eastAsia="Times New Roman"/>
                <w:b/>
                <w:bCs/>
                <w:color w:val="222222"/>
                <w:sz w:val="22"/>
                <w:szCs w:val="22"/>
              </w:rPr>
            </w:pPr>
          </w:p>
          <w:p w14:paraId="7AD5B2B3" w14:textId="77777777" w:rsidR="00ED0E0F" w:rsidRPr="00ED0E0F" w:rsidRDefault="00ED0E0F" w:rsidP="00F16F2C">
            <w:pPr>
              <w:jc w:val="center"/>
              <w:rPr>
                <w:rFonts w:eastAsia="Times New Roman"/>
                <w:b/>
                <w:bCs/>
                <w:color w:val="222222"/>
                <w:sz w:val="22"/>
                <w:szCs w:val="22"/>
              </w:rPr>
            </w:pPr>
          </w:p>
          <w:p w14:paraId="73357090" w14:textId="77777777" w:rsidR="00ED0E0F" w:rsidRPr="00ED0E0F" w:rsidRDefault="00ED0E0F" w:rsidP="00F16F2C">
            <w:pPr>
              <w:jc w:val="center"/>
              <w:rPr>
                <w:rFonts w:eastAsia="Times New Roman"/>
                <w:b/>
                <w:bCs/>
                <w:color w:val="222222"/>
                <w:sz w:val="22"/>
                <w:szCs w:val="22"/>
              </w:rPr>
            </w:pPr>
          </w:p>
          <w:p w14:paraId="642C481C" w14:textId="77777777" w:rsidR="00ED0E0F" w:rsidRPr="00ED0E0F" w:rsidRDefault="00ED0E0F" w:rsidP="00F16F2C">
            <w:pPr>
              <w:jc w:val="center"/>
              <w:rPr>
                <w:rFonts w:eastAsia="Times New Roman"/>
                <w:b/>
                <w:bCs/>
                <w:color w:val="222222"/>
                <w:sz w:val="22"/>
                <w:szCs w:val="22"/>
              </w:rPr>
            </w:pPr>
          </w:p>
          <w:p w14:paraId="11D7477F" w14:textId="77777777" w:rsidR="00ED0E0F" w:rsidRPr="00ED0E0F" w:rsidRDefault="00ED0E0F" w:rsidP="00F16F2C">
            <w:pPr>
              <w:jc w:val="center"/>
              <w:rPr>
                <w:rFonts w:eastAsia="Times New Roman"/>
                <w:b/>
                <w:bCs/>
                <w:color w:val="222222"/>
                <w:sz w:val="22"/>
                <w:szCs w:val="22"/>
              </w:rPr>
            </w:pPr>
          </w:p>
          <w:p w14:paraId="0ADE8724" w14:textId="77777777" w:rsidR="00ED0E0F" w:rsidRPr="00ED0E0F" w:rsidRDefault="00ED0E0F" w:rsidP="00F16F2C">
            <w:pPr>
              <w:jc w:val="center"/>
              <w:rPr>
                <w:rFonts w:eastAsia="Times New Roman"/>
                <w:b/>
                <w:bCs/>
                <w:color w:val="222222"/>
                <w:sz w:val="22"/>
                <w:szCs w:val="22"/>
              </w:rPr>
            </w:pPr>
          </w:p>
          <w:p w14:paraId="15F325CE" w14:textId="77777777" w:rsidR="00ED0E0F" w:rsidRPr="00ED0E0F" w:rsidRDefault="00ED0E0F" w:rsidP="00F16F2C">
            <w:pPr>
              <w:jc w:val="center"/>
              <w:rPr>
                <w:rFonts w:eastAsia="Times New Roman"/>
                <w:b/>
                <w:bCs/>
                <w:color w:val="222222"/>
                <w:sz w:val="22"/>
                <w:szCs w:val="22"/>
              </w:rPr>
            </w:pPr>
          </w:p>
          <w:p w14:paraId="10AF4376" w14:textId="4539ACA7" w:rsidR="00ED0E0F" w:rsidRPr="00ED0E0F" w:rsidRDefault="00ED0E0F" w:rsidP="00ED0E0F">
            <w:pPr>
              <w:jc w:val="center"/>
              <w:rPr>
                <w:rFonts w:eastAsia="Times New Roman"/>
                <w:b/>
                <w:bCs/>
                <w:color w:val="222222"/>
                <w:sz w:val="22"/>
                <w:szCs w:val="22"/>
              </w:rPr>
            </w:pPr>
            <w:r w:rsidRPr="00ED0E0F">
              <w:rPr>
                <w:rFonts w:eastAsia="Times New Roman"/>
                <w:b/>
                <w:bCs/>
                <w:color w:val="222222"/>
                <w:sz w:val="22"/>
                <w:szCs w:val="22"/>
              </w:rPr>
              <w:t>Table 11</w:t>
            </w:r>
          </w:p>
          <w:p w14:paraId="2EBBB4B3" w14:textId="77777777" w:rsidR="00ED0E0F" w:rsidRPr="00ED0E0F" w:rsidRDefault="00ED0E0F" w:rsidP="00F16F2C">
            <w:pPr>
              <w:jc w:val="center"/>
              <w:rPr>
                <w:rFonts w:eastAsia="Times New Roman"/>
                <w:b/>
                <w:bCs/>
                <w:color w:val="222222"/>
                <w:sz w:val="22"/>
                <w:szCs w:val="22"/>
              </w:rPr>
            </w:pPr>
            <w:r w:rsidRPr="00ED0E0F">
              <w:rPr>
                <w:rFonts w:eastAsia="Times New Roman"/>
                <w:b/>
                <w:bCs/>
                <w:color w:val="222222"/>
                <w:sz w:val="22"/>
                <w:szCs w:val="22"/>
              </w:rPr>
              <w:t>Income by Origins For Morris Households</w:t>
            </w:r>
          </w:p>
          <w:tbl>
            <w:tblPr>
              <w:tblW w:w="8203" w:type="dxa"/>
              <w:tblInd w:w="8" w:type="dxa"/>
              <w:tblLook w:val="04A0" w:firstRow="1" w:lastRow="0" w:firstColumn="1" w:lastColumn="0" w:noHBand="0" w:noVBand="1"/>
            </w:tblPr>
            <w:tblGrid>
              <w:gridCol w:w="4347"/>
              <w:gridCol w:w="1972"/>
              <w:gridCol w:w="1884"/>
            </w:tblGrid>
            <w:tr w:rsidR="00ED0E0F" w:rsidRPr="00ED0E0F" w14:paraId="34956151" w14:textId="77777777" w:rsidTr="00F16F2C">
              <w:trPr>
                <w:trHeight w:val="324"/>
              </w:trPr>
              <w:tc>
                <w:tcPr>
                  <w:tcW w:w="4347" w:type="dxa"/>
                  <w:tcBorders>
                    <w:top w:val="nil"/>
                    <w:left w:val="nil"/>
                    <w:bottom w:val="nil"/>
                    <w:right w:val="nil"/>
                  </w:tcBorders>
                  <w:shd w:val="clear" w:color="auto" w:fill="auto"/>
                  <w:noWrap/>
                  <w:vAlign w:val="bottom"/>
                  <w:hideMark/>
                </w:tcPr>
                <w:p w14:paraId="720FFEA8" w14:textId="77777777" w:rsidR="00ED0E0F" w:rsidRPr="00ED0E0F" w:rsidRDefault="00ED0E0F" w:rsidP="00F16F2C">
                  <w:pPr>
                    <w:framePr w:hSpace="180" w:wrap="around" w:hAnchor="page" w:x="1810" w:y="364"/>
                    <w:rPr>
                      <w:rFonts w:eastAsia="Times New Roman"/>
                      <w:color w:val="000000"/>
                      <w:u w:val="single"/>
                    </w:rPr>
                  </w:pPr>
                </w:p>
                <w:p w14:paraId="6AA965BF" w14:textId="77777777" w:rsidR="00ED0E0F" w:rsidRPr="00ED0E0F" w:rsidRDefault="00ED0E0F" w:rsidP="00F16F2C">
                  <w:pPr>
                    <w:framePr w:hSpace="180" w:wrap="around" w:hAnchor="page" w:x="1810" w:y="364"/>
                    <w:rPr>
                      <w:rFonts w:eastAsia="Times New Roman"/>
                      <w:color w:val="000000"/>
                      <w:u w:val="single"/>
                    </w:rPr>
                  </w:pPr>
                  <w:r w:rsidRPr="00ED0E0F">
                    <w:rPr>
                      <w:rFonts w:eastAsia="Times New Roman"/>
                      <w:color w:val="000000"/>
                      <w:u w:val="single"/>
                    </w:rPr>
                    <w:t>Income Origin</w:t>
                  </w:r>
                </w:p>
              </w:tc>
              <w:tc>
                <w:tcPr>
                  <w:tcW w:w="1972" w:type="dxa"/>
                  <w:tcBorders>
                    <w:top w:val="nil"/>
                    <w:left w:val="nil"/>
                    <w:bottom w:val="nil"/>
                    <w:right w:val="nil"/>
                  </w:tcBorders>
                  <w:shd w:val="clear" w:color="auto" w:fill="auto"/>
                  <w:noWrap/>
                  <w:vAlign w:val="bottom"/>
                  <w:hideMark/>
                </w:tcPr>
                <w:p w14:paraId="7FB12DD2" w14:textId="77777777" w:rsidR="00ED0E0F" w:rsidRPr="00ED0E0F" w:rsidRDefault="00ED0E0F" w:rsidP="00F16F2C">
                  <w:pPr>
                    <w:framePr w:hSpace="180" w:wrap="around" w:hAnchor="page" w:x="1810" w:y="364"/>
                    <w:rPr>
                      <w:rFonts w:eastAsia="Times New Roman"/>
                      <w:color w:val="000000"/>
                      <w:u w:val="single"/>
                    </w:rPr>
                  </w:pPr>
                  <w:r w:rsidRPr="00ED0E0F">
                    <w:rPr>
                      <w:rFonts w:eastAsia="Times New Roman"/>
                      <w:color w:val="000000"/>
                      <w:u w:val="single"/>
                    </w:rPr>
                    <w:t xml:space="preserve">% </w:t>
                  </w:r>
                  <w:proofErr w:type="gramStart"/>
                  <w:r w:rsidRPr="00ED0E0F">
                    <w:rPr>
                      <w:rFonts w:eastAsia="Times New Roman"/>
                      <w:color w:val="000000"/>
                      <w:u w:val="single"/>
                    </w:rPr>
                    <w:t>of</w:t>
                  </w:r>
                  <w:proofErr w:type="gramEnd"/>
                  <w:r w:rsidRPr="00ED0E0F">
                    <w:rPr>
                      <w:rFonts w:eastAsia="Times New Roman"/>
                      <w:color w:val="000000"/>
                      <w:u w:val="single"/>
                    </w:rPr>
                    <w:t xml:space="preserve"> Households</w:t>
                  </w:r>
                </w:p>
              </w:tc>
              <w:tc>
                <w:tcPr>
                  <w:tcW w:w="1884" w:type="dxa"/>
                  <w:tcBorders>
                    <w:top w:val="nil"/>
                    <w:left w:val="nil"/>
                    <w:bottom w:val="nil"/>
                    <w:right w:val="nil"/>
                  </w:tcBorders>
                  <w:shd w:val="clear" w:color="auto" w:fill="auto"/>
                  <w:noWrap/>
                  <w:vAlign w:val="bottom"/>
                  <w:hideMark/>
                </w:tcPr>
                <w:p w14:paraId="4B37BE89" w14:textId="77777777" w:rsidR="00ED0E0F" w:rsidRPr="00ED0E0F" w:rsidRDefault="00ED0E0F" w:rsidP="00F16F2C">
                  <w:pPr>
                    <w:framePr w:hSpace="180" w:wrap="around" w:hAnchor="page" w:x="1810" w:y="364"/>
                    <w:rPr>
                      <w:rFonts w:eastAsia="Times New Roman"/>
                      <w:color w:val="000000"/>
                      <w:u w:val="single"/>
                    </w:rPr>
                  </w:pPr>
                  <w:r w:rsidRPr="00ED0E0F">
                    <w:rPr>
                      <w:rFonts w:eastAsia="Times New Roman"/>
                      <w:color w:val="000000"/>
                      <w:u w:val="single"/>
                    </w:rPr>
                    <w:t xml:space="preserve">Mean Income </w:t>
                  </w:r>
                </w:p>
              </w:tc>
            </w:tr>
            <w:tr w:rsidR="00ED0E0F" w:rsidRPr="00ED0E0F" w14:paraId="5FB6FE0F" w14:textId="77777777" w:rsidTr="00F16F2C">
              <w:trPr>
                <w:trHeight w:val="324"/>
              </w:trPr>
              <w:tc>
                <w:tcPr>
                  <w:tcW w:w="4347" w:type="dxa"/>
                  <w:tcBorders>
                    <w:top w:val="nil"/>
                    <w:left w:val="nil"/>
                    <w:bottom w:val="nil"/>
                    <w:right w:val="nil"/>
                  </w:tcBorders>
                  <w:shd w:val="clear" w:color="auto" w:fill="auto"/>
                  <w:noWrap/>
                  <w:vAlign w:val="bottom"/>
                  <w:hideMark/>
                </w:tcPr>
                <w:p w14:paraId="61C32835" w14:textId="77777777" w:rsidR="00ED0E0F" w:rsidRPr="00ED0E0F" w:rsidRDefault="00ED0E0F" w:rsidP="00F16F2C">
                  <w:pPr>
                    <w:framePr w:hSpace="180" w:wrap="around" w:hAnchor="page" w:x="1810" w:y="364"/>
                    <w:rPr>
                      <w:rFonts w:eastAsia="Times New Roman"/>
                      <w:color w:val="000000"/>
                    </w:rPr>
                  </w:pPr>
                  <w:r w:rsidRPr="00ED0E0F">
                    <w:rPr>
                      <w:rFonts w:eastAsia="Times New Roman"/>
                      <w:color w:val="000000"/>
                    </w:rPr>
                    <w:t>Wages and Salary</w:t>
                  </w:r>
                </w:p>
              </w:tc>
              <w:tc>
                <w:tcPr>
                  <w:tcW w:w="1972" w:type="dxa"/>
                  <w:tcBorders>
                    <w:top w:val="nil"/>
                    <w:left w:val="nil"/>
                    <w:bottom w:val="nil"/>
                    <w:right w:val="nil"/>
                  </w:tcBorders>
                  <w:shd w:val="clear" w:color="auto" w:fill="auto"/>
                  <w:noWrap/>
                  <w:vAlign w:val="bottom"/>
                  <w:hideMark/>
                </w:tcPr>
                <w:p w14:paraId="16EA538C" w14:textId="77777777" w:rsidR="00ED0E0F" w:rsidRPr="00ED0E0F" w:rsidRDefault="00ED0E0F" w:rsidP="00F16F2C">
                  <w:pPr>
                    <w:framePr w:hSpace="180" w:wrap="around" w:hAnchor="page" w:x="1810" w:y="364"/>
                    <w:jc w:val="right"/>
                    <w:rPr>
                      <w:rFonts w:eastAsia="Times New Roman"/>
                      <w:color w:val="000000"/>
                    </w:rPr>
                  </w:pPr>
                  <w:r w:rsidRPr="00ED0E0F">
                    <w:rPr>
                      <w:rFonts w:eastAsia="Times New Roman"/>
                      <w:color w:val="000000"/>
                    </w:rPr>
                    <w:t>83.7%</w:t>
                  </w:r>
                </w:p>
              </w:tc>
              <w:tc>
                <w:tcPr>
                  <w:tcW w:w="1884" w:type="dxa"/>
                  <w:tcBorders>
                    <w:top w:val="nil"/>
                    <w:left w:val="nil"/>
                    <w:bottom w:val="nil"/>
                    <w:right w:val="nil"/>
                  </w:tcBorders>
                  <w:shd w:val="clear" w:color="auto" w:fill="auto"/>
                  <w:noWrap/>
                  <w:vAlign w:val="bottom"/>
                  <w:hideMark/>
                </w:tcPr>
                <w:p w14:paraId="3693D09E" w14:textId="77777777" w:rsidR="00ED0E0F" w:rsidRPr="00ED0E0F" w:rsidRDefault="00ED0E0F" w:rsidP="00F16F2C">
                  <w:pPr>
                    <w:framePr w:hSpace="180" w:wrap="around" w:hAnchor="page" w:x="1810" w:y="364"/>
                    <w:jc w:val="right"/>
                    <w:rPr>
                      <w:rFonts w:eastAsia="Times New Roman"/>
                      <w:color w:val="000000"/>
                    </w:rPr>
                  </w:pPr>
                  <w:r w:rsidRPr="00ED0E0F">
                    <w:rPr>
                      <w:rFonts w:eastAsia="Times New Roman"/>
                      <w:color w:val="000000"/>
                    </w:rPr>
                    <w:t>56,432</w:t>
                  </w:r>
                </w:p>
              </w:tc>
            </w:tr>
            <w:tr w:rsidR="00ED0E0F" w:rsidRPr="00ED0E0F" w14:paraId="7A2D2683" w14:textId="77777777" w:rsidTr="00F16F2C">
              <w:trPr>
                <w:trHeight w:val="324"/>
              </w:trPr>
              <w:tc>
                <w:tcPr>
                  <w:tcW w:w="4347" w:type="dxa"/>
                  <w:tcBorders>
                    <w:top w:val="nil"/>
                    <w:left w:val="nil"/>
                    <w:bottom w:val="nil"/>
                    <w:right w:val="nil"/>
                  </w:tcBorders>
                  <w:shd w:val="clear" w:color="auto" w:fill="auto"/>
                  <w:noWrap/>
                  <w:vAlign w:val="bottom"/>
                  <w:hideMark/>
                </w:tcPr>
                <w:p w14:paraId="0A3D7C4A" w14:textId="77777777" w:rsidR="00ED0E0F" w:rsidRPr="00ED0E0F" w:rsidRDefault="00ED0E0F" w:rsidP="00F16F2C">
                  <w:pPr>
                    <w:framePr w:hSpace="180" w:wrap="around" w:hAnchor="page" w:x="1810" w:y="364"/>
                    <w:rPr>
                      <w:rFonts w:eastAsia="Times New Roman"/>
                      <w:color w:val="000000"/>
                    </w:rPr>
                  </w:pPr>
                  <w:r w:rsidRPr="00ED0E0F">
                    <w:rPr>
                      <w:rFonts w:eastAsia="Times New Roman"/>
                      <w:color w:val="000000"/>
                    </w:rPr>
                    <w:t>Social Security</w:t>
                  </w:r>
                </w:p>
              </w:tc>
              <w:tc>
                <w:tcPr>
                  <w:tcW w:w="1972" w:type="dxa"/>
                  <w:tcBorders>
                    <w:top w:val="nil"/>
                    <w:left w:val="nil"/>
                    <w:bottom w:val="nil"/>
                    <w:right w:val="nil"/>
                  </w:tcBorders>
                  <w:shd w:val="clear" w:color="auto" w:fill="auto"/>
                  <w:noWrap/>
                  <w:vAlign w:val="bottom"/>
                  <w:hideMark/>
                </w:tcPr>
                <w:p w14:paraId="73D5D981" w14:textId="77777777" w:rsidR="00ED0E0F" w:rsidRPr="00ED0E0F" w:rsidRDefault="00ED0E0F" w:rsidP="00F16F2C">
                  <w:pPr>
                    <w:framePr w:hSpace="180" w:wrap="around" w:hAnchor="page" w:x="1810" w:y="364"/>
                    <w:jc w:val="right"/>
                    <w:rPr>
                      <w:rFonts w:eastAsia="Times New Roman"/>
                      <w:color w:val="000000"/>
                    </w:rPr>
                  </w:pPr>
                  <w:r w:rsidRPr="00ED0E0F">
                    <w:rPr>
                      <w:rFonts w:eastAsia="Times New Roman"/>
                      <w:color w:val="000000"/>
                    </w:rPr>
                    <w:t>26.4%</w:t>
                  </w:r>
                </w:p>
              </w:tc>
              <w:tc>
                <w:tcPr>
                  <w:tcW w:w="1884" w:type="dxa"/>
                  <w:tcBorders>
                    <w:top w:val="nil"/>
                    <w:left w:val="nil"/>
                    <w:bottom w:val="nil"/>
                    <w:right w:val="nil"/>
                  </w:tcBorders>
                  <w:shd w:val="clear" w:color="auto" w:fill="auto"/>
                  <w:noWrap/>
                  <w:vAlign w:val="bottom"/>
                  <w:hideMark/>
                </w:tcPr>
                <w:p w14:paraId="6E0613A9" w14:textId="77777777" w:rsidR="00ED0E0F" w:rsidRPr="00ED0E0F" w:rsidRDefault="00ED0E0F" w:rsidP="00F16F2C">
                  <w:pPr>
                    <w:framePr w:hSpace="180" w:wrap="around" w:hAnchor="page" w:x="1810" w:y="364"/>
                    <w:jc w:val="right"/>
                    <w:rPr>
                      <w:rFonts w:eastAsia="Times New Roman"/>
                      <w:color w:val="000000"/>
                    </w:rPr>
                  </w:pPr>
                  <w:r w:rsidRPr="00ED0E0F">
                    <w:rPr>
                      <w:rFonts w:eastAsia="Times New Roman"/>
                      <w:color w:val="000000"/>
                    </w:rPr>
                    <w:t>15,133</w:t>
                  </w:r>
                </w:p>
              </w:tc>
            </w:tr>
            <w:tr w:rsidR="00ED0E0F" w:rsidRPr="00ED0E0F" w14:paraId="0AA5F7F7" w14:textId="77777777" w:rsidTr="00F16F2C">
              <w:trPr>
                <w:trHeight w:val="324"/>
              </w:trPr>
              <w:tc>
                <w:tcPr>
                  <w:tcW w:w="4347" w:type="dxa"/>
                  <w:tcBorders>
                    <w:top w:val="nil"/>
                    <w:left w:val="nil"/>
                    <w:bottom w:val="nil"/>
                    <w:right w:val="nil"/>
                  </w:tcBorders>
                  <w:shd w:val="clear" w:color="auto" w:fill="auto"/>
                  <w:noWrap/>
                  <w:vAlign w:val="bottom"/>
                  <w:hideMark/>
                </w:tcPr>
                <w:p w14:paraId="312B73FD" w14:textId="77777777" w:rsidR="00ED0E0F" w:rsidRPr="00ED0E0F" w:rsidRDefault="00ED0E0F" w:rsidP="00F16F2C">
                  <w:pPr>
                    <w:framePr w:hSpace="180" w:wrap="around" w:hAnchor="page" w:x="1810" w:y="364"/>
                    <w:rPr>
                      <w:rFonts w:eastAsia="Times New Roman"/>
                      <w:color w:val="000000"/>
                    </w:rPr>
                  </w:pPr>
                  <w:r w:rsidRPr="00ED0E0F">
                    <w:rPr>
                      <w:rFonts w:eastAsia="Times New Roman"/>
                      <w:color w:val="000000"/>
                    </w:rPr>
                    <w:t>Retirement Income</w:t>
                  </w:r>
                </w:p>
              </w:tc>
              <w:tc>
                <w:tcPr>
                  <w:tcW w:w="1972" w:type="dxa"/>
                  <w:tcBorders>
                    <w:top w:val="nil"/>
                    <w:left w:val="nil"/>
                    <w:bottom w:val="nil"/>
                    <w:right w:val="nil"/>
                  </w:tcBorders>
                  <w:shd w:val="clear" w:color="auto" w:fill="auto"/>
                  <w:noWrap/>
                  <w:vAlign w:val="bottom"/>
                  <w:hideMark/>
                </w:tcPr>
                <w:p w14:paraId="6B0D8940" w14:textId="77777777" w:rsidR="00ED0E0F" w:rsidRPr="00ED0E0F" w:rsidRDefault="00ED0E0F" w:rsidP="00F16F2C">
                  <w:pPr>
                    <w:framePr w:hSpace="180" w:wrap="around" w:hAnchor="page" w:x="1810" w:y="364"/>
                    <w:jc w:val="right"/>
                    <w:rPr>
                      <w:rFonts w:eastAsia="Times New Roman"/>
                      <w:color w:val="000000"/>
                    </w:rPr>
                  </w:pPr>
                  <w:r w:rsidRPr="00ED0E0F">
                    <w:rPr>
                      <w:rFonts w:eastAsia="Times New Roman"/>
                      <w:color w:val="000000"/>
                    </w:rPr>
                    <w:t>13.7%</w:t>
                  </w:r>
                </w:p>
              </w:tc>
              <w:tc>
                <w:tcPr>
                  <w:tcW w:w="1884" w:type="dxa"/>
                  <w:tcBorders>
                    <w:top w:val="nil"/>
                    <w:left w:val="nil"/>
                    <w:bottom w:val="nil"/>
                    <w:right w:val="nil"/>
                  </w:tcBorders>
                  <w:shd w:val="clear" w:color="auto" w:fill="auto"/>
                  <w:noWrap/>
                  <w:vAlign w:val="bottom"/>
                  <w:hideMark/>
                </w:tcPr>
                <w:p w14:paraId="01573C03" w14:textId="77777777" w:rsidR="00ED0E0F" w:rsidRPr="00ED0E0F" w:rsidRDefault="00ED0E0F" w:rsidP="00F16F2C">
                  <w:pPr>
                    <w:framePr w:hSpace="180" w:wrap="around" w:hAnchor="page" w:x="1810" w:y="364"/>
                    <w:jc w:val="right"/>
                    <w:rPr>
                      <w:rFonts w:eastAsia="Times New Roman"/>
                      <w:color w:val="000000"/>
                    </w:rPr>
                  </w:pPr>
                  <w:r w:rsidRPr="00ED0E0F">
                    <w:rPr>
                      <w:rFonts w:eastAsia="Times New Roman"/>
                      <w:color w:val="000000"/>
                    </w:rPr>
                    <w:t>19,564</w:t>
                  </w:r>
                </w:p>
              </w:tc>
            </w:tr>
            <w:tr w:rsidR="00ED0E0F" w:rsidRPr="00ED0E0F" w14:paraId="457CBEDC" w14:textId="77777777" w:rsidTr="00F16F2C">
              <w:trPr>
                <w:trHeight w:val="324"/>
              </w:trPr>
              <w:tc>
                <w:tcPr>
                  <w:tcW w:w="4347" w:type="dxa"/>
                  <w:tcBorders>
                    <w:top w:val="nil"/>
                    <w:left w:val="nil"/>
                    <w:bottom w:val="nil"/>
                    <w:right w:val="nil"/>
                  </w:tcBorders>
                  <w:shd w:val="clear" w:color="auto" w:fill="auto"/>
                  <w:noWrap/>
                  <w:vAlign w:val="bottom"/>
                  <w:hideMark/>
                </w:tcPr>
                <w:p w14:paraId="1C266D0A" w14:textId="77777777" w:rsidR="00ED0E0F" w:rsidRPr="00ED0E0F" w:rsidRDefault="00ED0E0F" w:rsidP="00F16F2C">
                  <w:pPr>
                    <w:framePr w:hSpace="180" w:wrap="around" w:hAnchor="page" w:x="1810" w:y="364"/>
                    <w:rPr>
                      <w:rFonts w:eastAsia="Times New Roman"/>
                      <w:color w:val="000000"/>
                    </w:rPr>
                  </w:pPr>
                  <w:r w:rsidRPr="00ED0E0F">
                    <w:rPr>
                      <w:rFonts w:eastAsia="Times New Roman"/>
                      <w:color w:val="000000"/>
                    </w:rPr>
                    <w:t>Supplemental Security Income</w:t>
                  </w:r>
                </w:p>
              </w:tc>
              <w:tc>
                <w:tcPr>
                  <w:tcW w:w="1972" w:type="dxa"/>
                  <w:tcBorders>
                    <w:top w:val="nil"/>
                    <w:left w:val="nil"/>
                    <w:bottom w:val="nil"/>
                    <w:right w:val="nil"/>
                  </w:tcBorders>
                  <w:shd w:val="clear" w:color="auto" w:fill="auto"/>
                  <w:noWrap/>
                  <w:vAlign w:val="bottom"/>
                  <w:hideMark/>
                </w:tcPr>
                <w:p w14:paraId="0931E15B" w14:textId="77777777" w:rsidR="00ED0E0F" w:rsidRPr="00ED0E0F" w:rsidRDefault="00ED0E0F" w:rsidP="00F16F2C">
                  <w:pPr>
                    <w:framePr w:hSpace="180" w:wrap="around" w:hAnchor="page" w:x="1810" w:y="364"/>
                    <w:jc w:val="right"/>
                    <w:rPr>
                      <w:rFonts w:eastAsia="Times New Roman"/>
                      <w:color w:val="000000"/>
                    </w:rPr>
                  </w:pPr>
                  <w:r w:rsidRPr="00ED0E0F">
                    <w:rPr>
                      <w:rFonts w:eastAsia="Times New Roman"/>
                      <w:color w:val="000000"/>
                    </w:rPr>
                    <w:t>1.7%</w:t>
                  </w:r>
                </w:p>
              </w:tc>
              <w:tc>
                <w:tcPr>
                  <w:tcW w:w="1884" w:type="dxa"/>
                  <w:tcBorders>
                    <w:top w:val="nil"/>
                    <w:left w:val="nil"/>
                    <w:bottom w:val="nil"/>
                    <w:right w:val="nil"/>
                  </w:tcBorders>
                  <w:shd w:val="clear" w:color="auto" w:fill="auto"/>
                  <w:noWrap/>
                  <w:vAlign w:val="bottom"/>
                  <w:hideMark/>
                </w:tcPr>
                <w:p w14:paraId="599F0B2E" w14:textId="77777777" w:rsidR="00ED0E0F" w:rsidRPr="00ED0E0F" w:rsidRDefault="00ED0E0F" w:rsidP="00F16F2C">
                  <w:pPr>
                    <w:framePr w:hSpace="180" w:wrap="around" w:hAnchor="page" w:x="1810" w:y="364"/>
                    <w:jc w:val="right"/>
                    <w:rPr>
                      <w:rFonts w:eastAsia="Times New Roman"/>
                      <w:color w:val="000000"/>
                    </w:rPr>
                  </w:pPr>
                  <w:r w:rsidRPr="00ED0E0F">
                    <w:rPr>
                      <w:rFonts w:eastAsia="Times New Roman"/>
                      <w:color w:val="000000"/>
                    </w:rPr>
                    <w:t>9,212</w:t>
                  </w:r>
                </w:p>
              </w:tc>
            </w:tr>
            <w:tr w:rsidR="00ED0E0F" w:rsidRPr="00ED0E0F" w14:paraId="7133AADE" w14:textId="77777777" w:rsidTr="00F16F2C">
              <w:trPr>
                <w:trHeight w:val="324"/>
              </w:trPr>
              <w:tc>
                <w:tcPr>
                  <w:tcW w:w="4347" w:type="dxa"/>
                  <w:tcBorders>
                    <w:top w:val="nil"/>
                    <w:left w:val="nil"/>
                    <w:bottom w:val="nil"/>
                    <w:right w:val="nil"/>
                  </w:tcBorders>
                  <w:shd w:val="clear" w:color="auto" w:fill="auto"/>
                  <w:noWrap/>
                  <w:vAlign w:val="bottom"/>
                  <w:hideMark/>
                </w:tcPr>
                <w:p w14:paraId="5DB2E9AB" w14:textId="77777777" w:rsidR="00ED0E0F" w:rsidRPr="00ED0E0F" w:rsidRDefault="00ED0E0F" w:rsidP="00F16F2C">
                  <w:pPr>
                    <w:framePr w:hSpace="180" w:wrap="around" w:hAnchor="page" w:x="1810" w:y="364"/>
                    <w:rPr>
                      <w:rFonts w:eastAsia="Times New Roman"/>
                      <w:color w:val="000000"/>
                    </w:rPr>
                  </w:pPr>
                  <w:r w:rsidRPr="00ED0E0F">
                    <w:rPr>
                      <w:rFonts w:eastAsia="Times New Roman"/>
                      <w:color w:val="000000"/>
                    </w:rPr>
                    <w:t>Cash Public Assistance Income</w:t>
                  </w:r>
                </w:p>
              </w:tc>
              <w:tc>
                <w:tcPr>
                  <w:tcW w:w="1972" w:type="dxa"/>
                  <w:tcBorders>
                    <w:top w:val="nil"/>
                    <w:left w:val="nil"/>
                    <w:bottom w:val="nil"/>
                    <w:right w:val="nil"/>
                  </w:tcBorders>
                  <w:shd w:val="clear" w:color="auto" w:fill="auto"/>
                  <w:noWrap/>
                  <w:vAlign w:val="bottom"/>
                  <w:hideMark/>
                </w:tcPr>
                <w:p w14:paraId="33BB269B" w14:textId="77777777" w:rsidR="00ED0E0F" w:rsidRPr="00ED0E0F" w:rsidRDefault="00ED0E0F" w:rsidP="00F16F2C">
                  <w:pPr>
                    <w:framePr w:hSpace="180" w:wrap="around" w:hAnchor="page" w:x="1810" w:y="364"/>
                    <w:jc w:val="right"/>
                    <w:rPr>
                      <w:rFonts w:eastAsia="Times New Roman"/>
                      <w:color w:val="000000"/>
                    </w:rPr>
                  </w:pPr>
                  <w:r w:rsidRPr="00ED0E0F">
                    <w:rPr>
                      <w:rFonts w:eastAsia="Times New Roman"/>
                      <w:color w:val="000000"/>
                    </w:rPr>
                    <w:t>2.4%</w:t>
                  </w:r>
                </w:p>
              </w:tc>
              <w:tc>
                <w:tcPr>
                  <w:tcW w:w="1884" w:type="dxa"/>
                  <w:tcBorders>
                    <w:top w:val="nil"/>
                    <w:left w:val="nil"/>
                    <w:bottom w:val="nil"/>
                    <w:right w:val="nil"/>
                  </w:tcBorders>
                  <w:shd w:val="clear" w:color="auto" w:fill="auto"/>
                  <w:noWrap/>
                  <w:vAlign w:val="bottom"/>
                  <w:hideMark/>
                </w:tcPr>
                <w:p w14:paraId="2DC4C7D9" w14:textId="77777777" w:rsidR="00ED0E0F" w:rsidRPr="00ED0E0F" w:rsidRDefault="00ED0E0F" w:rsidP="00F16F2C">
                  <w:pPr>
                    <w:framePr w:hSpace="180" w:wrap="around" w:hAnchor="page" w:x="1810" w:y="364"/>
                    <w:jc w:val="right"/>
                    <w:rPr>
                      <w:rFonts w:eastAsia="Times New Roman"/>
                      <w:color w:val="000000"/>
                    </w:rPr>
                  </w:pPr>
                  <w:r w:rsidRPr="00ED0E0F">
                    <w:rPr>
                      <w:rFonts w:eastAsia="Times New Roman"/>
                      <w:color w:val="000000"/>
                    </w:rPr>
                    <w:t>2,822</w:t>
                  </w:r>
                </w:p>
              </w:tc>
            </w:tr>
          </w:tbl>
          <w:p w14:paraId="662EFB16" w14:textId="77777777" w:rsidR="00ED0E0F" w:rsidRPr="00ED0E0F" w:rsidRDefault="00ED0E0F" w:rsidP="00F16F2C">
            <w:pPr>
              <w:rPr>
                <w:rFonts w:eastAsia="Times New Roman"/>
                <w:bCs/>
                <w:color w:val="222222"/>
                <w:sz w:val="22"/>
                <w:szCs w:val="22"/>
              </w:rPr>
            </w:pPr>
            <w:r w:rsidRPr="00ED0E0F">
              <w:rPr>
                <w:rFonts w:eastAsia="Times New Roman"/>
                <w:bCs/>
                <w:color w:val="222222"/>
                <w:sz w:val="22"/>
                <w:szCs w:val="22"/>
              </w:rPr>
              <w:t xml:space="preserve"> </w:t>
            </w:r>
          </w:p>
          <w:p w14:paraId="33635F52" w14:textId="77777777" w:rsidR="00ED0E0F" w:rsidRPr="00ED0E0F" w:rsidRDefault="00ED0E0F" w:rsidP="00F16F2C">
            <w:r w:rsidRPr="00ED0E0F">
              <w:t xml:space="preserve">In 2010, 44.2% of households in Morris received part of their income from sources other than salary and wages, a decrease from 49.1% in 2000. </w:t>
            </w:r>
          </w:p>
          <w:p w14:paraId="064CAEF3" w14:textId="77777777" w:rsidR="00ED0E0F" w:rsidRPr="00ED0E0F" w:rsidRDefault="00ED0E0F" w:rsidP="00F16F2C">
            <w:pPr>
              <w:rPr>
                <w:rFonts w:eastAsia="Times New Roman"/>
                <w:bCs/>
                <w:color w:val="222222"/>
                <w:sz w:val="22"/>
                <w:szCs w:val="22"/>
              </w:rPr>
            </w:pPr>
          </w:p>
          <w:p w14:paraId="46E051CE" w14:textId="77777777" w:rsidR="00ED0E0F" w:rsidRPr="00ED0E0F" w:rsidRDefault="00ED0E0F" w:rsidP="00F16F2C">
            <w:pPr>
              <w:rPr>
                <w:rFonts w:eastAsia="Times New Roman"/>
                <w:bCs/>
                <w:color w:val="222222"/>
                <w:sz w:val="22"/>
                <w:szCs w:val="22"/>
              </w:rPr>
            </w:pPr>
            <w:r w:rsidRPr="00ED0E0F">
              <w:rPr>
                <w:rFonts w:eastAsia="Times New Roman"/>
                <w:bCs/>
                <w:color w:val="222222"/>
                <w:sz w:val="22"/>
                <w:szCs w:val="22"/>
              </w:rPr>
              <w:t xml:space="preserve">  </w:t>
            </w:r>
          </w:p>
          <w:p w14:paraId="26AF2826" w14:textId="77777777" w:rsidR="00ED0E0F" w:rsidRPr="00ED0E0F" w:rsidRDefault="00ED0E0F" w:rsidP="00F16F2C">
            <w:pPr>
              <w:rPr>
                <w:rFonts w:eastAsia="Times New Roman"/>
                <w:bCs/>
                <w:color w:val="222222"/>
                <w:sz w:val="22"/>
                <w:szCs w:val="22"/>
              </w:rPr>
            </w:pPr>
          </w:p>
        </w:tc>
        <w:tc>
          <w:tcPr>
            <w:tcW w:w="1119" w:type="dxa"/>
            <w:tcBorders>
              <w:top w:val="nil"/>
              <w:left w:val="nil"/>
              <w:bottom w:val="nil"/>
              <w:right w:val="nil"/>
            </w:tcBorders>
            <w:shd w:val="clear" w:color="auto" w:fill="auto"/>
            <w:noWrap/>
            <w:vAlign w:val="bottom"/>
          </w:tcPr>
          <w:p w14:paraId="28A40B41" w14:textId="77777777" w:rsidR="00ED0E0F" w:rsidRPr="00ED0E0F" w:rsidRDefault="00ED0E0F" w:rsidP="00F16F2C">
            <w:pPr>
              <w:jc w:val="right"/>
              <w:rPr>
                <w:rFonts w:eastAsia="Times New Roman"/>
                <w:color w:val="222222"/>
                <w:sz w:val="22"/>
                <w:szCs w:val="22"/>
              </w:rPr>
            </w:pPr>
          </w:p>
          <w:p w14:paraId="38508119" w14:textId="77777777" w:rsidR="00ED0E0F" w:rsidRPr="00ED0E0F" w:rsidRDefault="00ED0E0F" w:rsidP="00F16F2C">
            <w:pPr>
              <w:jc w:val="right"/>
              <w:rPr>
                <w:rFonts w:eastAsia="Times New Roman"/>
                <w:color w:val="222222"/>
                <w:sz w:val="22"/>
                <w:szCs w:val="22"/>
              </w:rPr>
            </w:pPr>
          </w:p>
          <w:p w14:paraId="037576AD" w14:textId="77777777" w:rsidR="00ED0E0F" w:rsidRPr="00ED0E0F" w:rsidRDefault="00ED0E0F" w:rsidP="00F16F2C">
            <w:pPr>
              <w:jc w:val="right"/>
              <w:rPr>
                <w:rFonts w:eastAsia="Times New Roman"/>
                <w:color w:val="222222"/>
                <w:sz w:val="22"/>
                <w:szCs w:val="22"/>
              </w:rPr>
            </w:pPr>
          </w:p>
          <w:p w14:paraId="4C566F1D"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 xml:space="preserve"> </w:t>
            </w:r>
          </w:p>
        </w:tc>
      </w:tr>
      <w:tr w:rsidR="00ED0E0F" w:rsidRPr="00ED0E0F" w14:paraId="4AE1EC9C" w14:textId="77777777" w:rsidTr="00F16F2C">
        <w:trPr>
          <w:trHeight w:val="305"/>
        </w:trPr>
        <w:tc>
          <w:tcPr>
            <w:tcW w:w="8438" w:type="dxa"/>
            <w:tcBorders>
              <w:top w:val="nil"/>
              <w:left w:val="nil"/>
              <w:bottom w:val="nil"/>
              <w:right w:val="nil"/>
            </w:tcBorders>
            <w:shd w:val="clear" w:color="auto" w:fill="auto"/>
            <w:noWrap/>
            <w:vAlign w:val="bottom"/>
          </w:tcPr>
          <w:p w14:paraId="1855B63A" w14:textId="77777777" w:rsidR="00ED0E0F" w:rsidRPr="00ED0E0F" w:rsidRDefault="00ED0E0F" w:rsidP="00F16F2C">
            <w:pPr>
              <w:rPr>
                <w:rFonts w:eastAsia="Times New Roman"/>
                <w:bCs/>
                <w:color w:val="222222"/>
                <w:sz w:val="22"/>
                <w:szCs w:val="22"/>
              </w:rPr>
            </w:pPr>
          </w:p>
        </w:tc>
        <w:tc>
          <w:tcPr>
            <w:tcW w:w="1119" w:type="dxa"/>
            <w:tcBorders>
              <w:top w:val="nil"/>
              <w:left w:val="nil"/>
              <w:bottom w:val="nil"/>
              <w:right w:val="nil"/>
            </w:tcBorders>
            <w:shd w:val="clear" w:color="auto" w:fill="auto"/>
            <w:noWrap/>
            <w:vAlign w:val="bottom"/>
          </w:tcPr>
          <w:p w14:paraId="2B3C7F07" w14:textId="77777777" w:rsidR="00ED0E0F" w:rsidRPr="00ED0E0F" w:rsidRDefault="00ED0E0F" w:rsidP="00F16F2C">
            <w:pPr>
              <w:jc w:val="right"/>
              <w:rPr>
                <w:rFonts w:eastAsia="Times New Roman"/>
                <w:color w:val="222222"/>
                <w:sz w:val="22"/>
                <w:szCs w:val="22"/>
              </w:rPr>
            </w:pPr>
          </w:p>
        </w:tc>
      </w:tr>
    </w:tbl>
    <w:p w14:paraId="0E180B3E" w14:textId="77777777" w:rsidR="00ED0E0F" w:rsidRPr="00ED0E0F" w:rsidRDefault="00ED0E0F" w:rsidP="00ED0E0F">
      <w:pPr>
        <w:rPr>
          <w:b/>
        </w:rPr>
      </w:pPr>
    </w:p>
    <w:p w14:paraId="4B73F20F" w14:textId="77777777" w:rsidR="00ED0E0F" w:rsidRPr="00ED0E0F" w:rsidRDefault="00ED0E0F" w:rsidP="00ED0E0F">
      <w:pPr>
        <w:jc w:val="center"/>
        <w:rPr>
          <w:b/>
        </w:rPr>
      </w:pPr>
      <w:r w:rsidRPr="00ED0E0F">
        <w:rPr>
          <w:b/>
        </w:rPr>
        <w:t>Table 16</w:t>
      </w:r>
    </w:p>
    <w:p w14:paraId="3A1A0D8E" w14:textId="77777777" w:rsidR="00ED0E0F" w:rsidRPr="00ED0E0F" w:rsidRDefault="00ED0E0F" w:rsidP="00ED0E0F">
      <w:pPr>
        <w:jc w:val="center"/>
        <w:rPr>
          <w:b/>
        </w:rPr>
      </w:pPr>
      <w:r w:rsidRPr="00ED0E0F">
        <w:rPr>
          <w:b/>
        </w:rPr>
        <w:t>City of Morris Average Household Size</w:t>
      </w:r>
    </w:p>
    <w:tbl>
      <w:tblPr>
        <w:tblW w:w="7660" w:type="dxa"/>
        <w:tblInd w:w="93" w:type="dxa"/>
        <w:tblLook w:val="04A0" w:firstRow="1" w:lastRow="0" w:firstColumn="1" w:lastColumn="0" w:noHBand="0" w:noVBand="1"/>
      </w:tblPr>
      <w:tblGrid>
        <w:gridCol w:w="2730"/>
        <w:gridCol w:w="1693"/>
        <w:gridCol w:w="1666"/>
        <w:gridCol w:w="1571"/>
      </w:tblGrid>
      <w:tr w:rsidR="00ED0E0F" w:rsidRPr="00ED0E0F" w14:paraId="06E126B3" w14:textId="77777777" w:rsidTr="00F16F2C">
        <w:trPr>
          <w:trHeight w:val="342"/>
        </w:trPr>
        <w:tc>
          <w:tcPr>
            <w:tcW w:w="2730" w:type="dxa"/>
            <w:tcBorders>
              <w:top w:val="nil"/>
              <w:left w:val="nil"/>
              <w:bottom w:val="nil"/>
              <w:right w:val="nil"/>
            </w:tcBorders>
            <w:shd w:val="clear" w:color="auto" w:fill="auto"/>
            <w:noWrap/>
            <w:vAlign w:val="bottom"/>
            <w:hideMark/>
          </w:tcPr>
          <w:p w14:paraId="1486CDD7" w14:textId="77777777" w:rsidR="00ED0E0F" w:rsidRPr="00ED0E0F" w:rsidRDefault="00ED0E0F" w:rsidP="00F16F2C">
            <w:pPr>
              <w:rPr>
                <w:rFonts w:eastAsia="Times New Roman"/>
                <w:color w:val="000000"/>
                <w:u w:val="single"/>
              </w:rPr>
            </w:pPr>
            <w:r w:rsidRPr="00ED0E0F">
              <w:rPr>
                <w:rFonts w:eastAsia="Times New Roman"/>
                <w:color w:val="000000"/>
                <w:u w:val="single"/>
              </w:rPr>
              <w:t>Year</w:t>
            </w:r>
          </w:p>
        </w:tc>
        <w:tc>
          <w:tcPr>
            <w:tcW w:w="1693" w:type="dxa"/>
            <w:tcBorders>
              <w:top w:val="nil"/>
              <w:left w:val="nil"/>
              <w:bottom w:val="nil"/>
              <w:right w:val="nil"/>
            </w:tcBorders>
            <w:shd w:val="clear" w:color="auto" w:fill="auto"/>
            <w:noWrap/>
            <w:vAlign w:val="bottom"/>
            <w:hideMark/>
          </w:tcPr>
          <w:p w14:paraId="12936F00" w14:textId="77777777" w:rsidR="00ED0E0F" w:rsidRPr="00ED0E0F" w:rsidRDefault="00ED0E0F" w:rsidP="00F16F2C">
            <w:pPr>
              <w:rPr>
                <w:rFonts w:eastAsia="Times New Roman"/>
                <w:color w:val="000000"/>
                <w:u w:val="single"/>
              </w:rPr>
            </w:pPr>
            <w:r w:rsidRPr="00ED0E0F">
              <w:rPr>
                <w:rFonts w:eastAsia="Times New Roman"/>
                <w:color w:val="000000"/>
                <w:u w:val="single"/>
              </w:rPr>
              <w:t>Households</w:t>
            </w:r>
          </w:p>
        </w:tc>
        <w:tc>
          <w:tcPr>
            <w:tcW w:w="1666" w:type="dxa"/>
            <w:tcBorders>
              <w:top w:val="nil"/>
              <w:left w:val="nil"/>
              <w:bottom w:val="nil"/>
              <w:right w:val="nil"/>
            </w:tcBorders>
            <w:shd w:val="clear" w:color="auto" w:fill="auto"/>
            <w:noWrap/>
            <w:vAlign w:val="bottom"/>
            <w:hideMark/>
          </w:tcPr>
          <w:p w14:paraId="3D1607D3" w14:textId="77777777" w:rsidR="00ED0E0F" w:rsidRPr="00ED0E0F" w:rsidRDefault="00ED0E0F" w:rsidP="00F16F2C">
            <w:pPr>
              <w:rPr>
                <w:rFonts w:eastAsia="Times New Roman"/>
                <w:color w:val="000000"/>
                <w:u w:val="single"/>
              </w:rPr>
            </w:pPr>
            <w:r w:rsidRPr="00ED0E0F">
              <w:rPr>
                <w:rFonts w:eastAsia="Times New Roman"/>
                <w:color w:val="000000"/>
                <w:u w:val="single"/>
              </w:rPr>
              <w:t>Population</w:t>
            </w:r>
          </w:p>
        </w:tc>
        <w:tc>
          <w:tcPr>
            <w:tcW w:w="1571" w:type="dxa"/>
            <w:tcBorders>
              <w:top w:val="nil"/>
              <w:left w:val="nil"/>
              <w:bottom w:val="nil"/>
              <w:right w:val="nil"/>
            </w:tcBorders>
            <w:shd w:val="clear" w:color="auto" w:fill="auto"/>
            <w:noWrap/>
            <w:vAlign w:val="bottom"/>
            <w:hideMark/>
          </w:tcPr>
          <w:p w14:paraId="113705AB" w14:textId="77777777" w:rsidR="00ED0E0F" w:rsidRPr="00ED0E0F" w:rsidRDefault="00ED0E0F" w:rsidP="00F16F2C">
            <w:pPr>
              <w:rPr>
                <w:rFonts w:eastAsia="Times New Roman"/>
                <w:color w:val="000000"/>
                <w:u w:val="single"/>
              </w:rPr>
            </w:pPr>
            <w:r w:rsidRPr="00ED0E0F">
              <w:rPr>
                <w:rFonts w:eastAsia="Times New Roman"/>
                <w:color w:val="000000"/>
                <w:u w:val="single"/>
              </w:rPr>
              <w:t>Average Household Size</w:t>
            </w:r>
          </w:p>
        </w:tc>
      </w:tr>
      <w:tr w:rsidR="00ED0E0F" w:rsidRPr="00ED0E0F" w14:paraId="36D88408" w14:textId="77777777" w:rsidTr="00F16F2C">
        <w:trPr>
          <w:trHeight w:val="342"/>
        </w:trPr>
        <w:tc>
          <w:tcPr>
            <w:tcW w:w="2730" w:type="dxa"/>
            <w:tcBorders>
              <w:top w:val="nil"/>
              <w:left w:val="nil"/>
              <w:bottom w:val="nil"/>
              <w:right w:val="nil"/>
            </w:tcBorders>
            <w:shd w:val="clear" w:color="auto" w:fill="auto"/>
            <w:noWrap/>
            <w:vAlign w:val="bottom"/>
            <w:hideMark/>
          </w:tcPr>
          <w:p w14:paraId="06964FA3" w14:textId="77777777" w:rsidR="00ED0E0F" w:rsidRPr="00ED0E0F" w:rsidRDefault="00ED0E0F" w:rsidP="00F16F2C">
            <w:pPr>
              <w:rPr>
                <w:rFonts w:eastAsia="Times New Roman"/>
                <w:color w:val="000000"/>
              </w:rPr>
            </w:pPr>
            <w:r w:rsidRPr="00ED0E0F">
              <w:rPr>
                <w:rFonts w:eastAsia="Times New Roman"/>
                <w:color w:val="000000"/>
              </w:rPr>
              <w:t>2000</w:t>
            </w:r>
          </w:p>
        </w:tc>
        <w:tc>
          <w:tcPr>
            <w:tcW w:w="1693" w:type="dxa"/>
            <w:tcBorders>
              <w:top w:val="nil"/>
              <w:left w:val="nil"/>
              <w:bottom w:val="nil"/>
              <w:right w:val="nil"/>
            </w:tcBorders>
            <w:shd w:val="clear" w:color="auto" w:fill="auto"/>
            <w:noWrap/>
            <w:vAlign w:val="bottom"/>
            <w:hideMark/>
          </w:tcPr>
          <w:p w14:paraId="4F79D2F1" w14:textId="77777777" w:rsidR="00ED0E0F" w:rsidRPr="00ED0E0F" w:rsidRDefault="00ED0E0F" w:rsidP="00F16F2C">
            <w:pPr>
              <w:rPr>
                <w:rFonts w:eastAsia="Times New Roman"/>
                <w:color w:val="000000"/>
              </w:rPr>
            </w:pPr>
            <w:r w:rsidRPr="00ED0E0F">
              <w:rPr>
                <w:rFonts w:eastAsia="Times New Roman"/>
                <w:color w:val="000000"/>
              </w:rPr>
              <w:t>1,929</w:t>
            </w:r>
          </w:p>
        </w:tc>
        <w:tc>
          <w:tcPr>
            <w:tcW w:w="1666" w:type="dxa"/>
            <w:tcBorders>
              <w:top w:val="nil"/>
              <w:left w:val="nil"/>
              <w:bottom w:val="nil"/>
              <w:right w:val="nil"/>
            </w:tcBorders>
            <w:shd w:val="clear" w:color="auto" w:fill="auto"/>
            <w:noWrap/>
            <w:vAlign w:val="bottom"/>
            <w:hideMark/>
          </w:tcPr>
          <w:p w14:paraId="0F9E4045" w14:textId="77777777" w:rsidR="00ED0E0F" w:rsidRPr="00ED0E0F" w:rsidRDefault="00ED0E0F" w:rsidP="00F16F2C">
            <w:pPr>
              <w:rPr>
                <w:rFonts w:eastAsia="Times New Roman"/>
                <w:color w:val="000000"/>
              </w:rPr>
            </w:pPr>
            <w:r w:rsidRPr="00ED0E0F">
              <w:rPr>
                <w:rFonts w:eastAsia="Times New Roman"/>
                <w:color w:val="000000"/>
              </w:rPr>
              <w:t>5,068</w:t>
            </w:r>
          </w:p>
        </w:tc>
        <w:tc>
          <w:tcPr>
            <w:tcW w:w="1571" w:type="dxa"/>
            <w:tcBorders>
              <w:top w:val="nil"/>
              <w:left w:val="nil"/>
              <w:bottom w:val="nil"/>
              <w:right w:val="nil"/>
            </w:tcBorders>
            <w:shd w:val="clear" w:color="auto" w:fill="auto"/>
            <w:noWrap/>
            <w:vAlign w:val="bottom"/>
            <w:hideMark/>
          </w:tcPr>
          <w:p w14:paraId="45144CF1" w14:textId="77777777" w:rsidR="00ED0E0F" w:rsidRPr="00ED0E0F" w:rsidRDefault="00ED0E0F" w:rsidP="00F16F2C">
            <w:pPr>
              <w:rPr>
                <w:rFonts w:eastAsia="Times New Roman"/>
                <w:color w:val="000000"/>
              </w:rPr>
            </w:pPr>
            <w:r w:rsidRPr="00ED0E0F">
              <w:rPr>
                <w:rFonts w:eastAsia="Times New Roman"/>
                <w:color w:val="000000"/>
              </w:rPr>
              <w:t>2.2</w:t>
            </w:r>
          </w:p>
        </w:tc>
      </w:tr>
      <w:tr w:rsidR="00ED0E0F" w:rsidRPr="00ED0E0F" w14:paraId="482E44C3" w14:textId="77777777" w:rsidTr="00F16F2C">
        <w:trPr>
          <w:trHeight w:val="342"/>
        </w:trPr>
        <w:tc>
          <w:tcPr>
            <w:tcW w:w="2730" w:type="dxa"/>
            <w:tcBorders>
              <w:top w:val="nil"/>
              <w:left w:val="nil"/>
              <w:bottom w:val="nil"/>
              <w:right w:val="nil"/>
            </w:tcBorders>
            <w:shd w:val="clear" w:color="auto" w:fill="auto"/>
            <w:noWrap/>
            <w:vAlign w:val="bottom"/>
            <w:hideMark/>
          </w:tcPr>
          <w:p w14:paraId="2B4DEF83" w14:textId="77777777" w:rsidR="00ED0E0F" w:rsidRPr="00ED0E0F" w:rsidRDefault="00ED0E0F" w:rsidP="00F16F2C">
            <w:pPr>
              <w:rPr>
                <w:rFonts w:eastAsia="Times New Roman"/>
                <w:color w:val="000000"/>
              </w:rPr>
            </w:pPr>
            <w:r w:rsidRPr="00ED0E0F">
              <w:rPr>
                <w:rFonts w:eastAsia="Times New Roman"/>
                <w:color w:val="000000"/>
              </w:rPr>
              <w:t>2010</w:t>
            </w:r>
          </w:p>
        </w:tc>
        <w:tc>
          <w:tcPr>
            <w:tcW w:w="1693" w:type="dxa"/>
            <w:tcBorders>
              <w:top w:val="nil"/>
              <w:left w:val="nil"/>
              <w:bottom w:val="nil"/>
              <w:right w:val="nil"/>
            </w:tcBorders>
            <w:shd w:val="clear" w:color="auto" w:fill="auto"/>
            <w:noWrap/>
            <w:vAlign w:val="bottom"/>
            <w:hideMark/>
          </w:tcPr>
          <w:p w14:paraId="67EA4ECD" w14:textId="77777777" w:rsidR="00ED0E0F" w:rsidRPr="00ED0E0F" w:rsidRDefault="00ED0E0F" w:rsidP="00F16F2C">
            <w:pPr>
              <w:rPr>
                <w:rFonts w:eastAsia="Times New Roman"/>
                <w:color w:val="000000"/>
              </w:rPr>
            </w:pPr>
            <w:r w:rsidRPr="00ED0E0F">
              <w:rPr>
                <w:rFonts w:eastAsia="Times New Roman"/>
                <w:color w:val="000000"/>
              </w:rPr>
              <w:t>1,986</w:t>
            </w:r>
          </w:p>
        </w:tc>
        <w:tc>
          <w:tcPr>
            <w:tcW w:w="1666" w:type="dxa"/>
            <w:tcBorders>
              <w:top w:val="nil"/>
              <w:left w:val="nil"/>
              <w:bottom w:val="nil"/>
              <w:right w:val="nil"/>
            </w:tcBorders>
            <w:shd w:val="clear" w:color="auto" w:fill="auto"/>
            <w:noWrap/>
            <w:vAlign w:val="bottom"/>
            <w:hideMark/>
          </w:tcPr>
          <w:p w14:paraId="22DE02FD" w14:textId="77777777" w:rsidR="00ED0E0F" w:rsidRPr="00ED0E0F" w:rsidRDefault="00ED0E0F" w:rsidP="00F16F2C">
            <w:pPr>
              <w:rPr>
                <w:rFonts w:eastAsia="Times New Roman"/>
                <w:color w:val="000000"/>
              </w:rPr>
            </w:pPr>
            <w:r w:rsidRPr="00ED0E0F">
              <w:rPr>
                <w:rFonts w:eastAsia="Times New Roman"/>
                <w:color w:val="000000"/>
              </w:rPr>
              <w:t>5,286</w:t>
            </w:r>
          </w:p>
        </w:tc>
        <w:tc>
          <w:tcPr>
            <w:tcW w:w="1571" w:type="dxa"/>
            <w:tcBorders>
              <w:top w:val="nil"/>
              <w:left w:val="nil"/>
              <w:bottom w:val="nil"/>
              <w:right w:val="nil"/>
            </w:tcBorders>
            <w:shd w:val="clear" w:color="auto" w:fill="auto"/>
            <w:noWrap/>
            <w:vAlign w:val="bottom"/>
            <w:hideMark/>
          </w:tcPr>
          <w:p w14:paraId="3A2568B2" w14:textId="77777777" w:rsidR="00ED0E0F" w:rsidRPr="00ED0E0F" w:rsidRDefault="00ED0E0F" w:rsidP="00F16F2C">
            <w:pPr>
              <w:rPr>
                <w:rFonts w:eastAsia="Times New Roman"/>
                <w:color w:val="000000"/>
              </w:rPr>
            </w:pPr>
            <w:r w:rsidRPr="00ED0E0F">
              <w:rPr>
                <w:rFonts w:eastAsia="Times New Roman"/>
                <w:color w:val="000000"/>
              </w:rPr>
              <w:t>2.23</w:t>
            </w:r>
          </w:p>
        </w:tc>
      </w:tr>
    </w:tbl>
    <w:p w14:paraId="3210CD59" w14:textId="77777777" w:rsidR="00ED0E0F" w:rsidRPr="00ED0E0F" w:rsidRDefault="00ED0E0F" w:rsidP="00ED0E0F">
      <w:pPr>
        <w:rPr>
          <w:b/>
        </w:rPr>
      </w:pPr>
      <w:r w:rsidRPr="00ED0E0F">
        <w:rPr>
          <w:b/>
        </w:rPr>
        <w:t xml:space="preserve">  </w:t>
      </w:r>
      <w:r w:rsidRPr="00ED0E0F">
        <w:rPr>
          <w:b/>
        </w:rPr>
        <w:tab/>
      </w:r>
      <w:r w:rsidRPr="00ED0E0F">
        <w:rPr>
          <w:b/>
        </w:rPr>
        <w:tab/>
      </w:r>
      <w:r w:rsidRPr="00ED0E0F">
        <w:rPr>
          <w:b/>
        </w:rPr>
        <w:tab/>
      </w:r>
      <w:r w:rsidRPr="00ED0E0F">
        <w:rPr>
          <w:b/>
        </w:rPr>
        <w:tab/>
      </w:r>
    </w:p>
    <w:p w14:paraId="49A2A75F" w14:textId="107504D8" w:rsidR="00ED0E0F" w:rsidRPr="00ED0E0F" w:rsidRDefault="00ED0E0F" w:rsidP="00ED0E0F">
      <w:r w:rsidRPr="00ED0E0F">
        <w:t xml:space="preserve">Table 16 looks at persons per household in Morris for the years 2000 and 2010. </w:t>
      </w:r>
      <w:r>
        <w:t>The increase in population (4.3%) is only 1.3% higher tha</w:t>
      </w:r>
      <w:r w:rsidRPr="00ED0E0F">
        <w:t xml:space="preserve">n the </w:t>
      </w:r>
      <w:r>
        <w:t xml:space="preserve">increase in household </w:t>
      </w:r>
      <w:r w:rsidRPr="00ED0E0F">
        <w:t xml:space="preserve">(3.0%). In other outstate communities and in the Twin Cities metropolitan area, households have typically increased at a faster rate than the population. </w:t>
      </w:r>
    </w:p>
    <w:p w14:paraId="7FFBD1C2" w14:textId="77777777" w:rsidR="00ED0E0F" w:rsidRPr="00ED0E0F" w:rsidRDefault="00ED0E0F" w:rsidP="00ED0E0F">
      <w:pPr>
        <w:ind w:left="2160" w:firstLine="720"/>
        <w:rPr>
          <w:b/>
        </w:rPr>
      </w:pPr>
    </w:p>
    <w:p w14:paraId="7AAAEF0B" w14:textId="77777777" w:rsidR="00ED0E0F" w:rsidRPr="00ED0E0F" w:rsidRDefault="00ED0E0F" w:rsidP="00ED0E0F">
      <w:pPr>
        <w:ind w:left="2160" w:firstLine="720"/>
        <w:rPr>
          <w:b/>
        </w:rPr>
      </w:pPr>
    </w:p>
    <w:p w14:paraId="0AA164AC" w14:textId="77777777" w:rsidR="00ED0E0F" w:rsidRPr="00ED0E0F" w:rsidRDefault="00ED0E0F" w:rsidP="00ED0E0F">
      <w:pPr>
        <w:ind w:left="2160" w:firstLine="720"/>
        <w:rPr>
          <w:b/>
        </w:rPr>
      </w:pPr>
    </w:p>
    <w:p w14:paraId="6C79D643" w14:textId="50A15803" w:rsidR="00ED0E0F" w:rsidRPr="00ED0E0F" w:rsidRDefault="00ED0E0F" w:rsidP="00ED0E0F">
      <w:pPr>
        <w:jc w:val="center"/>
        <w:rPr>
          <w:b/>
        </w:rPr>
      </w:pPr>
      <w:r w:rsidRPr="00ED0E0F">
        <w:rPr>
          <w:b/>
        </w:rPr>
        <w:t>Table 17</w:t>
      </w:r>
    </w:p>
    <w:p w14:paraId="191DB24B" w14:textId="77777777" w:rsidR="00ED0E0F" w:rsidRPr="00ED0E0F" w:rsidRDefault="00ED0E0F" w:rsidP="00ED0E0F">
      <w:pPr>
        <w:ind w:left="720" w:firstLine="720"/>
        <w:rPr>
          <w:b/>
        </w:rPr>
      </w:pPr>
      <w:r w:rsidRPr="00ED0E0F">
        <w:rPr>
          <w:b/>
        </w:rPr>
        <w:t>City of Morris Housing Occupancy</w:t>
      </w:r>
    </w:p>
    <w:p w14:paraId="234D94BB" w14:textId="77777777" w:rsidR="00ED0E0F" w:rsidRPr="00ED0E0F" w:rsidRDefault="00ED0E0F" w:rsidP="00ED0E0F">
      <w:pPr>
        <w:rPr>
          <w:b/>
        </w:rPr>
      </w:pPr>
    </w:p>
    <w:tbl>
      <w:tblPr>
        <w:tblW w:w="6340" w:type="dxa"/>
        <w:tblInd w:w="93" w:type="dxa"/>
        <w:tblLook w:val="04A0" w:firstRow="1" w:lastRow="0" w:firstColumn="1" w:lastColumn="0" w:noHBand="0" w:noVBand="1"/>
      </w:tblPr>
      <w:tblGrid>
        <w:gridCol w:w="2260"/>
        <w:gridCol w:w="1400"/>
        <w:gridCol w:w="1380"/>
        <w:gridCol w:w="1300"/>
      </w:tblGrid>
      <w:tr w:rsidR="00ED0E0F" w:rsidRPr="00ED0E0F" w14:paraId="7AE66F84" w14:textId="77777777" w:rsidTr="00F16F2C">
        <w:trPr>
          <w:trHeight w:val="300"/>
        </w:trPr>
        <w:tc>
          <w:tcPr>
            <w:tcW w:w="2260" w:type="dxa"/>
            <w:tcBorders>
              <w:top w:val="nil"/>
              <w:left w:val="nil"/>
              <w:bottom w:val="nil"/>
              <w:right w:val="nil"/>
            </w:tcBorders>
            <w:shd w:val="clear" w:color="auto" w:fill="auto"/>
            <w:noWrap/>
            <w:vAlign w:val="bottom"/>
            <w:hideMark/>
          </w:tcPr>
          <w:p w14:paraId="724F8739" w14:textId="77777777" w:rsidR="00ED0E0F" w:rsidRPr="00ED0E0F" w:rsidRDefault="00ED0E0F" w:rsidP="00F16F2C">
            <w:pPr>
              <w:rPr>
                <w:rFonts w:eastAsia="Times New Roman"/>
                <w:color w:val="000000"/>
              </w:rPr>
            </w:pPr>
          </w:p>
        </w:tc>
        <w:tc>
          <w:tcPr>
            <w:tcW w:w="1400" w:type="dxa"/>
            <w:tcBorders>
              <w:top w:val="nil"/>
              <w:left w:val="nil"/>
              <w:bottom w:val="nil"/>
              <w:right w:val="nil"/>
            </w:tcBorders>
            <w:shd w:val="clear" w:color="auto" w:fill="auto"/>
            <w:noWrap/>
            <w:vAlign w:val="bottom"/>
            <w:hideMark/>
          </w:tcPr>
          <w:p w14:paraId="700385DF" w14:textId="77777777" w:rsidR="00ED0E0F" w:rsidRPr="00ED0E0F" w:rsidRDefault="00ED0E0F" w:rsidP="00F16F2C">
            <w:pPr>
              <w:jc w:val="right"/>
              <w:rPr>
                <w:rFonts w:eastAsia="Times New Roman"/>
                <w:b/>
                <w:bCs/>
                <w:color w:val="000000"/>
                <w:u w:val="single"/>
              </w:rPr>
            </w:pPr>
            <w:r w:rsidRPr="00ED0E0F">
              <w:rPr>
                <w:rFonts w:eastAsia="Times New Roman"/>
                <w:b/>
                <w:bCs/>
                <w:color w:val="000000"/>
                <w:u w:val="single"/>
              </w:rPr>
              <w:t>2000</w:t>
            </w:r>
          </w:p>
        </w:tc>
        <w:tc>
          <w:tcPr>
            <w:tcW w:w="1380" w:type="dxa"/>
            <w:tcBorders>
              <w:top w:val="nil"/>
              <w:left w:val="nil"/>
              <w:bottom w:val="nil"/>
              <w:right w:val="nil"/>
            </w:tcBorders>
            <w:shd w:val="clear" w:color="auto" w:fill="auto"/>
            <w:noWrap/>
            <w:vAlign w:val="bottom"/>
            <w:hideMark/>
          </w:tcPr>
          <w:p w14:paraId="5233B911" w14:textId="77777777" w:rsidR="00ED0E0F" w:rsidRPr="00ED0E0F" w:rsidRDefault="00ED0E0F" w:rsidP="00F16F2C">
            <w:pPr>
              <w:jc w:val="right"/>
              <w:rPr>
                <w:rFonts w:eastAsia="Times New Roman"/>
                <w:b/>
                <w:bCs/>
                <w:color w:val="000000"/>
                <w:u w:val="single"/>
              </w:rPr>
            </w:pPr>
            <w:r w:rsidRPr="00ED0E0F">
              <w:rPr>
                <w:rFonts w:eastAsia="Times New Roman"/>
                <w:b/>
                <w:bCs/>
                <w:color w:val="000000"/>
                <w:u w:val="single"/>
              </w:rPr>
              <w:t>2010</w:t>
            </w:r>
          </w:p>
        </w:tc>
        <w:tc>
          <w:tcPr>
            <w:tcW w:w="1300" w:type="dxa"/>
            <w:tcBorders>
              <w:top w:val="nil"/>
              <w:left w:val="nil"/>
              <w:bottom w:val="nil"/>
              <w:right w:val="nil"/>
            </w:tcBorders>
            <w:shd w:val="clear" w:color="auto" w:fill="auto"/>
            <w:noWrap/>
            <w:vAlign w:val="bottom"/>
            <w:hideMark/>
          </w:tcPr>
          <w:p w14:paraId="254FA129" w14:textId="77777777" w:rsidR="00ED0E0F" w:rsidRPr="00ED0E0F" w:rsidRDefault="00ED0E0F" w:rsidP="00F16F2C">
            <w:pPr>
              <w:rPr>
                <w:rFonts w:eastAsia="Times New Roman"/>
                <w:b/>
                <w:bCs/>
                <w:color w:val="000000"/>
                <w:u w:val="single"/>
              </w:rPr>
            </w:pPr>
            <w:r w:rsidRPr="00ED0E0F">
              <w:rPr>
                <w:rFonts w:eastAsia="Times New Roman"/>
                <w:b/>
                <w:bCs/>
                <w:color w:val="000000"/>
                <w:u w:val="single"/>
              </w:rPr>
              <w:t xml:space="preserve">% Change </w:t>
            </w:r>
          </w:p>
        </w:tc>
      </w:tr>
      <w:tr w:rsidR="00ED0E0F" w:rsidRPr="00ED0E0F" w14:paraId="15D8B28C" w14:textId="77777777" w:rsidTr="00F16F2C">
        <w:trPr>
          <w:trHeight w:val="300"/>
        </w:trPr>
        <w:tc>
          <w:tcPr>
            <w:tcW w:w="2260" w:type="dxa"/>
            <w:tcBorders>
              <w:top w:val="nil"/>
              <w:left w:val="nil"/>
              <w:bottom w:val="nil"/>
              <w:right w:val="nil"/>
            </w:tcBorders>
            <w:shd w:val="clear" w:color="auto" w:fill="auto"/>
            <w:noWrap/>
            <w:vAlign w:val="bottom"/>
            <w:hideMark/>
          </w:tcPr>
          <w:p w14:paraId="7551220C" w14:textId="77777777" w:rsidR="00ED0E0F" w:rsidRPr="00ED0E0F" w:rsidRDefault="00ED0E0F" w:rsidP="00F16F2C">
            <w:pPr>
              <w:rPr>
                <w:rFonts w:eastAsia="Times New Roman"/>
                <w:color w:val="000000"/>
              </w:rPr>
            </w:pPr>
            <w:r w:rsidRPr="00ED0E0F">
              <w:rPr>
                <w:rFonts w:eastAsia="Times New Roman"/>
                <w:color w:val="000000"/>
              </w:rPr>
              <w:t>Owner</w:t>
            </w:r>
          </w:p>
        </w:tc>
        <w:tc>
          <w:tcPr>
            <w:tcW w:w="1400" w:type="dxa"/>
            <w:tcBorders>
              <w:top w:val="nil"/>
              <w:left w:val="nil"/>
              <w:bottom w:val="nil"/>
              <w:right w:val="nil"/>
            </w:tcBorders>
            <w:shd w:val="clear" w:color="auto" w:fill="auto"/>
            <w:noWrap/>
            <w:vAlign w:val="bottom"/>
            <w:hideMark/>
          </w:tcPr>
          <w:p w14:paraId="44941361" w14:textId="77777777" w:rsidR="00ED0E0F" w:rsidRPr="00ED0E0F" w:rsidRDefault="00ED0E0F" w:rsidP="00F16F2C">
            <w:pPr>
              <w:jc w:val="right"/>
              <w:rPr>
                <w:rFonts w:eastAsia="Times New Roman"/>
                <w:color w:val="000000"/>
              </w:rPr>
            </w:pPr>
            <w:r w:rsidRPr="00ED0E0F">
              <w:rPr>
                <w:rFonts w:eastAsia="Times New Roman"/>
                <w:color w:val="000000"/>
              </w:rPr>
              <w:t>1929</w:t>
            </w:r>
          </w:p>
        </w:tc>
        <w:tc>
          <w:tcPr>
            <w:tcW w:w="1380" w:type="dxa"/>
            <w:tcBorders>
              <w:top w:val="nil"/>
              <w:left w:val="nil"/>
              <w:bottom w:val="nil"/>
              <w:right w:val="nil"/>
            </w:tcBorders>
            <w:shd w:val="clear" w:color="auto" w:fill="auto"/>
            <w:noWrap/>
            <w:vAlign w:val="bottom"/>
            <w:hideMark/>
          </w:tcPr>
          <w:p w14:paraId="7FB8552A" w14:textId="77777777" w:rsidR="00ED0E0F" w:rsidRPr="00ED0E0F" w:rsidRDefault="00ED0E0F" w:rsidP="00F16F2C">
            <w:pPr>
              <w:jc w:val="right"/>
              <w:rPr>
                <w:rFonts w:eastAsia="Times New Roman"/>
                <w:color w:val="000000"/>
              </w:rPr>
            </w:pPr>
            <w:r w:rsidRPr="00ED0E0F">
              <w:rPr>
                <w:rFonts w:eastAsia="Times New Roman"/>
                <w:color w:val="000000"/>
              </w:rPr>
              <w:t>1986</w:t>
            </w:r>
          </w:p>
        </w:tc>
        <w:tc>
          <w:tcPr>
            <w:tcW w:w="1300" w:type="dxa"/>
            <w:tcBorders>
              <w:top w:val="nil"/>
              <w:left w:val="nil"/>
              <w:bottom w:val="nil"/>
              <w:right w:val="nil"/>
            </w:tcBorders>
            <w:shd w:val="clear" w:color="auto" w:fill="auto"/>
            <w:noWrap/>
            <w:vAlign w:val="bottom"/>
            <w:hideMark/>
          </w:tcPr>
          <w:p w14:paraId="5DA81FCC" w14:textId="77777777" w:rsidR="00ED0E0F" w:rsidRPr="00ED0E0F" w:rsidRDefault="00ED0E0F" w:rsidP="00F16F2C">
            <w:pPr>
              <w:jc w:val="right"/>
              <w:rPr>
                <w:rFonts w:eastAsia="Times New Roman"/>
                <w:color w:val="000000"/>
              </w:rPr>
            </w:pPr>
            <w:r w:rsidRPr="00ED0E0F">
              <w:rPr>
                <w:rFonts w:eastAsia="Times New Roman"/>
                <w:color w:val="000000"/>
              </w:rPr>
              <w:t>2.95%</w:t>
            </w:r>
          </w:p>
        </w:tc>
      </w:tr>
      <w:tr w:rsidR="00ED0E0F" w:rsidRPr="00ED0E0F" w14:paraId="66C6EB7A" w14:textId="77777777" w:rsidTr="00F16F2C">
        <w:trPr>
          <w:trHeight w:val="300"/>
        </w:trPr>
        <w:tc>
          <w:tcPr>
            <w:tcW w:w="2260" w:type="dxa"/>
            <w:tcBorders>
              <w:top w:val="nil"/>
              <w:left w:val="nil"/>
              <w:bottom w:val="nil"/>
              <w:right w:val="nil"/>
            </w:tcBorders>
            <w:shd w:val="clear" w:color="auto" w:fill="auto"/>
            <w:noWrap/>
            <w:vAlign w:val="bottom"/>
            <w:hideMark/>
          </w:tcPr>
          <w:p w14:paraId="35466BBE" w14:textId="77777777" w:rsidR="00ED0E0F" w:rsidRPr="00ED0E0F" w:rsidRDefault="00ED0E0F" w:rsidP="00F16F2C">
            <w:pPr>
              <w:rPr>
                <w:rFonts w:eastAsia="Times New Roman"/>
                <w:color w:val="000000"/>
              </w:rPr>
            </w:pPr>
            <w:r w:rsidRPr="00ED0E0F">
              <w:rPr>
                <w:rFonts w:eastAsia="Times New Roman"/>
                <w:color w:val="000000"/>
              </w:rPr>
              <w:t>Vacant</w:t>
            </w:r>
          </w:p>
        </w:tc>
        <w:tc>
          <w:tcPr>
            <w:tcW w:w="1400" w:type="dxa"/>
            <w:tcBorders>
              <w:top w:val="nil"/>
              <w:left w:val="nil"/>
              <w:bottom w:val="nil"/>
              <w:right w:val="nil"/>
            </w:tcBorders>
            <w:shd w:val="clear" w:color="auto" w:fill="auto"/>
            <w:noWrap/>
            <w:vAlign w:val="bottom"/>
            <w:hideMark/>
          </w:tcPr>
          <w:p w14:paraId="69A02B6B" w14:textId="77777777" w:rsidR="00ED0E0F" w:rsidRPr="00ED0E0F" w:rsidRDefault="00ED0E0F" w:rsidP="00F16F2C">
            <w:pPr>
              <w:jc w:val="right"/>
              <w:rPr>
                <w:rFonts w:eastAsia="Times New Roman"/>
                <w:color w:val="000000"/>
              </w:rPr>
            </w:pPr>
            <w:r w:rsidRPr="00ED0E0F">
              <w:rPr>
                <w:rFonts w:eastAsia="Times New Roman"/>
                <w:color w:val="000000"/>
              </w:rPr>
              <w:t>138</w:t>
            </w:r>
          </w:p>
        </w:tc>
        <w:tc>
          <w:tcPr>
            <w:tcW w:w="1380" w:type="dxa"/>
            <w:tcBorders>
              <w:top w:val="nil"/>
              <w:left w:val="nil"/>
              <w:bottom w:val="nil"/>
              <w:right w:val="nil"/>
            </w:tcBorders>
            <w:shd w:val="clear" w:color="auto" w:fill="auto"/>
            <w:noWrap/>
            <w:vAlign w:val="bottom"/>
            <w:hideMark/>
          </w:tcPr>
          <w:p w14:paraId="40AE8814" w14:textId="77777777" w:rsidR="00ED0E0F" w:rsidRPr="00ED0E0F" w:rsidRDefault="00ED0E0F" w:rsidP="00F16F2C">
            <w:pPr>
              <w:jc w:val="right"/>
              <w:rPr>
                <w:rFonts w:eastAsia="Times New Roman"/>
                <w:color w:val="000000"/>
              </w:rPr>
            </w:pPr>
            <w:r w:rsidRPr="00ED0E0F">
              <w:rPr>
                <w:rFonts w:eastAsia="Times New Roman"/>
                <w:color w:val="000000"/>
              </w:rPr>
              <w:t>213</w:t>
            </w:r>
          </w:p>
        </w:tc>
        <w:tc>
          <w:tcPr>
            <w:tcW w:w="1300" w:type="dxa"/>
            <w:tcBorders>
              <w:top w:val="nil"/>
              <w:left w:val="nil"/>
              <w:bottom w:val="nil"/>
              <w:right w:val="nil"/>
            </w:tcBorders>
            <w:shd w:val="clear" w:color="auto" w:fill="auto"/>
            <w:noWrap/>
            <w:vAlign w:val="bottom"/>
            <w:hideMark/>
          </w:tcPr>
          <w:p w14:paraId="02A749CD" w14:textId="77777777" w:rsidR="00ED0E0F" w:rsidRPr="00ED0E0F" w:rsidRDefault="00ED0E0F" w:rsidP="00F16F2C">
            <w:pPr>
              <w:jc w:val="right"/>
              <w:rPr>
                <w:rFonts w:eastAsia="Times New Roman"/>
                <w:color w:val="000000"/>
              </w:rPr>
            </w:pPr>
            <w:r w:rsidRPr="00ED0E0F">
              <w:rPr>
                <w:rFonts w:eastAsia="Times New Roman"/>
                <w:color w:val="000000"/>
              </w:rPr>
              <w:t>54.35%</w:t>
            </w:r>
          </w:p>
        </w:tc>
      </w:tr>
      <w:tr w:rsidR="00ED0E0F" w:rsidRPr="00ED0E0F" w14:paraId="5249DDCF" w14:textId="77777777" w:rsidTr="00F16F2C">
        <w:trPr>
          <w:trHeight w:val="300"/>
        </w:trPr>
        <w:tc>
          <w:tcPr>
            <w:tcW w:w="2260" w:type="dxa"/>
            <w:tcBorders>
              <w:top w:val="nil"/>
              <w:left w:val="nil"/>
              <w:bottom w:val="nil"/>
              <w:right w:val="nil"/>
            </w:tcBorders>
            <w:shd w:val="clear" w:color="auto" w:fill="auto"/>
            <w:noWrap/>
            <w:vAlign w:val="bottom"/>
            <w:hideMark/>
          </w:tcPr>
          <w:p w14:paraId="78449564" w14:textId="77777777" w:rsidR="00ED0E0F" w:rsidRPr="00ED0E0F" w:rsidRDefault="00ED0E0F" w:rsidP="00F16F2C">
            <w:pPr>
              <w:rPr>
                <w:rFonts w:eastAsia="Times New Roman"/>
                <w:color w:val="000000"/>
              </w:rPr>
            </w:pPr>
            <w:r w:rsidRPr="00ED0E0F">
              <w:rPr>
                <w:rFonts w:eastAsia="Times New Roman"/>
                <w:color w:val="000000"/>
              </w:rPr>
              <w:t>Renter</w:t>
            </w:r>
          </w:p>
        </w:tc>
        <w:tc>
          <w:tcPr>
            <w:tcW w:w="1400" w:type="dxa"/>
            <w:tcBorders>
              <w:top w:val="nil"/>
              <w:left w:val="nil"/>
              <w:bottom w:val="nil"/>
              <w:right w:val="nil"/>
            </w:tcBorders>
            <w:shd w:val="clear" w:color="auto" w:fill="auto"/>
            <w:noWrap/>
            <w:vAlign w:val="bottom"/>
            <w:hideMark/>
          </w:tcPr>
          <w:p w14:paraId="7A2407A6" w14:textId="77777777" w:rsidR="00ED0E0F" w:rsidRPr="00ED0E0F" w:rsidRDefault="00ED0E0F" w:rsidP="00F16F2C">
            <w:pPr>
              <w:jc w:val="right"/>
              <w:rPr>
                <w:rFonts w:eastAsia="Times New Roman"/>
                <w:color w:val="000000"/>
                <w:u w:val="single"/>
              </w:rPr>
            </w:pPr>
            <w:r w:rsidRPr="00ED0E0F">
              <w:rPr>
                <w:rFonts w:eastAsia="Times New Roman"/>
                <w:color w:val="000000"/>
                <w:u w:val="single"/>
              </w:rPr>
              <w:t>854</w:t>
            </w:r>
          </w:p>
        </w:tc>
        <w:tc>
          <w:tcPr>
            <w:tcW w:w="1380" w:type="dxa"/>
            <w:tcBorders>
              <w:top w:val="nil"/>
              <w:left w:val="nil"/>
              <w:bottom w:val="nil"/>
              <w:right w:val="nil"/>
            </w:tcBorders>
            <w:shd w:val="clear" w:color="auto" w:fill="auto"/>
            <w:noWrap/>
            <w:vAlign w:val="bottom"/>
            <w:hideMark/>
          </w:tcPr>
          <w:p w14:paraId="534661EA" w14:textId="77777777" w:rsidR="00ED0E0F" w:rsidRPr="00ED0E0F" w:rsidRDefault="00ED0E0F" w:rsidP="00F16F2C">
            <w:pPr>
              <w:jc w:val="right"/>
              <w:rPr>
                <w:rFonts w:eastAsia="Times New Roman"/>
                <w:color w:val="000000"/>
                <w:u w:val="single"/>
              </w:rPr>
            </w:pPr>
            <w:r w:rsidRPr="00ED0E0F">
              <w:rPr>
                <w:rFonts w:eastAsia="Times New Roman"/>
                <w:color w:val="000000"/>
                <w:u w:val="single"/>
              </w:rPr>
              <w:t>850</w:t>
            </w:r>
          </w:p>
        </w:tc>
        <w:tc>
          <w:tcPr>
            <w:tcW w:w="1300" w:type="dxa"/>
            <w:tcBorders>
              <w:top w:val="nil"/>
              <w:left w:val="nil"/>
              <w:bottom w:val="nil"/>
              <w:right w:val="nil"/>
            </w:tcBorders>
            <w:shd w:val="clear" w:color="auto" w:fill="auto"/>
            <w:noWrap/>
            <w:vAlign w:val="bottom"/>
            <w:hideMark/>
          </w:tcPr>
          <w:p w14:paraId="4E273C87" w14:textId="77777777" w:rsidR="00ED0E0F" w:rsidRPr="00ED0E0F" w:rsidRDefault="00ED0E0F" w:rsidP="00F16F2C">
            <w:pPr>
              <w:jc w:val="right"/>
              <w:rPr>
                <w:rFonts w:eastAsia="Times New Roman"/>
                <w:color w:val="000000"/>
              </w:rPr>
            </w:pPr>
            <w:r w:rsidRPr="00ED0E0F">
              <w:rPr>
                <w:rFonts w:eastAsia="Times New Roman"/>
                <w:color w:val="000000"/>
              </w:rPr>
              <w:t>-0.47%</w:t>
            </w:r>
          </w:p>
        </w:tc>
      </w:tr>
      <w:tr w:rsidR="00ED0E0F" w:rsidRPr="00ED0E0F" w14:paraId="70226711" w14:textId="77777777" w:rsidTr="00F16F2C">
        <w:trPr>
          <w:trHeight w:val="300"/>
        </w:trPr>
        <w:tc>
          <w:tcPr>
            <w:tcW w:w="2260" w:type="dxa"/>
            <w:tcBorders>
              <w:top w:val="nil"/>
              <w:left w:val="nil"/>
              <w:bottom w:val="nil"/>
              <w:right w:val="nil"/>
            </w:tcBorders>
            <w:shd w:val="clear" w:color="auto" w:fill="auto"/>
            <w:noWrap/>
            <w:vAlign w:val="bottom"/>
            <w:hideMark/>
          </w:tcPr>
          <w:p w14:paraId="76CF3513" w14:textId="77777777" w:rsidR="00ED0E0F" w:rsidRPr="00ED0E0F" w:rsidRDefault="00ED0E0F" w:rsidP="00F16F2C">
            <w:pPr>
              <w:rPr>
                <w:rFonts w:eastAsia="Times New Roman"/>
                <w:color w:val="000000"/>
              </w:rPr>
            </w:pPr>
          </w:p>
        </w:tc>
        <w:tc>
          <w:tcPr>
            <w:tcW w:w="1400" w:type="dxa"/>
            <w:tcBorders>
              <w:top w:val="nil"/>
              <w:left w:val="nil"/>
              <w:bottom w:val="nil"/>
              <w:right w:val="nil"/>
            </w:tcBorders>
            <w:shd w:val="clear" w:color="auto" w:fill="auto"/>
            <w:noWrap/>
            <w:vAlign w:val="bottom"/>
            <w:hideMark/>
          </w:tcPr>
          <w:p w14:paraId="063402CE" w14:textId="77777777" w:rsidR="00ED0E0F" w:rsidRPr="00ED0E0F" w:rsidRDefault="00ED0E0F" w:rsidP="00F16F2C">
            <w:pPr>
              <w:jc w:val="right"/>
              <w:rPr>
                <w:rFonts w:eastAsia="Times New Roman"/>
                <w:b/>
                <w:bCs/>
                <w:color w:val="000000"/>
              </w:rPr>
            </w:pPr>
            <w:r w:rsidRPr="00ED0E0F">
              <w:rPr>
                <w:rFonts w:eastAsia="Times New Roman"/>
                <w:b/>
                <w:bCs/>
                <w:color w:val="000000"/>
              </w:rPr>
              <w:t>2921</w:t>
            </w:r>
          </w:p>
        </w:tc>
        <w:tc>
          <w:tcPr>
            <w:tcW w:w="1380" w:type="dxa"/>
            <w:tcBorders>
              <w:top w:val="nil"/>
              <w:left w:val="nil"/>
              <w:bottom w:val="nil"/>
              <w:right w:val="nil"/>
            </w:tcBorders>
            <w:shd w:val="clear" w:color="auto" w:fill="auto"/>
            <w:noWrap/>
            <w:vAlign w:val="bottom"/>
            <w:hideMark/>
          </w:tcPr>
          <w:p w14:paraId="145C57B4" w14:textId="77777777" w:rsidR="00ED0E0F" w:rsidRPr="00ED0E0F" w:rsidRDefault="00ED0E0F" w:rsidP="00F16F2C">
            <w:pPr>
              <w:jc w:val="right"/>
              <w:rPr>
                <w:rFonts w:eastAsia="Times New Roman"/>
                <w:b/>
                <w:bCs/>
                <w:color w:val="000000"/>
              </w:rPr>
            </w:pPr>
            <w:r w:rsidRPr="00ED0E0F">
              <w:rPr>
                <w:rFonts w:eastAsia="Times New Roman"/>
                <w:b/>
                <w:bCs/>
                <w:color w:val="000000"/>
              </w:rPr>
              <w:t>3049</w:t>
            </w:r>
          </w:p>
        </w:tc>
        <w:tc>
          <w:tcPr>
            <w:tcW w:w="1300" w:type="dxa"/>
            <w:tcBorders>
              <w:top w:val="nil"/>
              <w:left w:val="nil"/>
              <w:bottom w:val="nil"/>
              <w:right w:val="nil"/>
            </w:tcBorders>
            <w:shd w:val="clear" w:color="auto" w:fill="auto"/>
            <w:noWrap/>
            <w:vAlign w:val="bottom"/>
            <w:hideMark/>
          </w:tcPr>
          <w:p w14:paraId="359D5714" w14:textId="77777777" w:rsidR="00ED0E0F" w:rsidRPr="00ED0E0F" w:rsidRDefault="00ED0E0F" w:rsidP="00F16F2C">
            <w:pPr>
              <w:rPr>
                <w:rFonts w:eastAsia="Times New Roman"/>
                <w:color w:val="000000"/>
              </w:rPr>
            </w:pPr>
          </w:p>
        </w:tc>
      </w:tr>
    </w:tbl>
    <w:p w14:paraId="72D8D7FB" w14:textId="77777777" w:rsidR="00ED0E0F" w:rsidRPr="00ED0E0F" w:rsidRDefault="00ED0E0F" w:rsidP="00ED0E0F">
      <w:pPr>
        <w:rPr>
          <w:b/>
        </w:rPr>
      </w:pPr>
    </w:p>
    <w:p w14:paraId="03E2AC1A" w14:textId="77777777" w:rsidR="00ED0E0F" w:rsidRPr="00ED0E0F" w:rsidRDefault="00ED0E0F" w:rsidP="00ED0E0F">
      <w:pPr>
        <w:rPr>
          <w:b/>
        </w:rPr>
      </w:pPr>
    </w:p>
    <w:p w14:paraId="29F114EC" w14:textId="0E650E29" w:rsidR="00ED0E0F" w:rsidRPr="00ED0E0F" w:rsidRDefault="00ED0E0F" w:rsidP="00ED0E0F">
      <w:r w:rsidRPr="00ED0E0F">
        <w:t>Table 17 show</w:t>
      </w:r>
      <w:r>
        <w:t>s</w:t>
      </w:r>
      <w:r w:rsidRPr="00ED0E0F">
        <w:t xml:space="preserve"> Morris’ housing occupancy characteristics. The table shows that in 2010 there were nearly twice as many owner-occupied </w:t>
      </w:r>
      <w:r>
        <w:t xml:space="preserve">housing </w:t>
      </w:r>
      <w:r w:rsidRPr="00ED0E0F">
        <w:t>units as renter-occupied units</w:t>
      </w:r>
      <w:r>
        <w:t xml:space="preserve">. During this </w:t>
      </w:r>
      <w:proofErr w:type="gramStart"/>
      <w:r>
        <w:t>same</w:t>
      </w:r>
      <w:proofErr w:type="gramEnd"/>
      <w:r>
        <w:t xml:space="preserve"> time</w:t>
      </w:r>
      <w:r w:rsidRPr="00ED0E0F">
        <w:t xml:space="preserve"> the number of year round vacant houses increased by 54.35%.</w:t>
      </w:r>
    </w:p>
    <w:p w14:paraId="58BA57A9" w14:textId="77777777" w:rsidR="00ED0E0F" w:rsidRPr="00ED0E0F" w:rsidRDefault="00ED0E0F" w:rsidP="00ED0E0F">
      <w:pPr>
        <w:ind w:left="2880" w:firstLine="720"/>
        <w:rPr>
          <w:b/>
        </w:rPr>
      </w:pPr>
    </w:p>
    <w:p w14:paraId="7FC1CFCC" w14:textId="77777777" w:rsidR="00ED0E0F" w:rsidRPr="00ED0E0F" w:rsidRDefault="00ED0E0F" w:rsidP="00ED0E0F">
      <w:pPr>
        <w:ind w:left="2880" w:firstLine="720"/>
        <w:rPr>
          <w:b/>
        </w:rPr>
      </w:pPr>
    </w:p>
    <w:p w14:paraId="494DCA68" w14:textId="77777777" w:rsidR="00ED0E0F" w:rsidRPr="00ED0E0F" w:rsidRDefault="00ED0E0F" w:rsidP="00ED0E0F">
      <w:pPr>
        <w:ind w:left="2880" w:firstLine="720"/>
        <w:rPr>
          <w:b/>
        </w:rPr>
      </w:pPr>
    </w:p>
    <w:p w14:paraId="485AD704" w14:textId="77777777" w:rsidR="00ED0E0F" w:rsidRPr="00ED0E0F" w:rsidRDefault="00ED0E0F" w:rsidP="00ED0E0F">
      <w:pPr>
        <w:ind w:left="2880" w:firstLine="720"/>
        <w:rPr>
          <w:b/>
        </w:rPr>
      </w:pPr>
    </w:p>
    <w:p w14:paraId="5FF7891F" w14:textId="77777777" w:rsidR="00ED0E0F" w:rsidRPr="00ED0E0F" w:rsidRDefault="00ED0E0F" w:rsidP="00ED0E0F">
      <w:pPr>
        <w:ind w:left="2880" w:firstLine="720"/>
        <w:rPr>
          <w:b/>
        </w:rPr>
      </w:pPr>
    </w:p>
    <w:p w14:paraId="36544DD8" w14:textId="77777777" w:rsidR="00ED0E0F" w:rsidRPr="00ED0E0F" w:rsidRDefault="00ED0E0F" w:rsidP="00ED0E0F">
      <w:pPr>
        <w:ind w:left="2880" w:firstLine="720"/>
        <w:rPr>
          <w:b/>
        </w:rPr>
      </w:pPr>
    </w:p>
    <w:p w14:paraId="5B3B1A4E" w14:textId="77777777" w:rsidR="00ED0E0F" w:rsidRPr="00ED0E0F" w:rsidRDefault="00ED0E0F" w:rsidP="00ED0E0F">
      <w:pPr>
        <w:ind w:left="2880" w:firstLine="720"/>
        <w:rPr>
          <w:b/>
        </w:rPr>
      </w:pPr>
    </w:p>
    <w:p w14:paraId="056CFD14" w14:textId="77777777" w:rsidR="00ED0E0F" w:rsidRPr="00ED0E0F" w:rsidRDefault="00ED0E0F" w:rsidP="00ED0E0F">
      <w:pPr>
        <w:ind w:left="2880" w:firstLine="720"/>
        <w:rPr>
          <w:b/>
        </w:rPr>
      </w:pPr>
    </w:p>
    <w:p w14:paraId="41359A78" w14:textId="77777777" w:rsidR="00ED0E0F" w:rsidRPr="00ED0E0F" w:rsidRDefault="00ED0E0F" w:rsidP="00ED0E0F">
      <w:pPr>
        <w:ind w:left="2880" w:firstLine="720"/>
        <w:rPr>
          <w:b/>
        </w:rPr>
      </w:pPr>
    </w:p>
    <w:p w14:paraId="4073BBE5" w14:textId="77777777" w:rsidR="00ED0E0F" w:rsidRPr="00ED0E0F" w:rsidRDefault="00ED0E0F" w:rsidP="00ED0E0F">
      <w:pPr>
        <w:ind w:left="2880" w:firstLine="720"/>
        <w:rPr>
          <w:b/>
        </w:rPr>
      </w:pPr>
    </w:p>
    <w:p w14:paraId="32FC12EA" w14:textId="77777777" w:rsidR="00ED0E0F" w:rsidRPr="00ED0E0F" w:rsidRDefault="00ED0E0F" w:rsidP="00ED0E0F">
      <w:pPr>
        <w:ind w:left="2880" w:firstLine="720"/>
        <w:rPr>
          <w:b/>
        </w:rPr>
      </w:pPr>
    </w:p>
    <w:p w14:paraId="0B6E62DE" w14:textId="77777777" w:rsidR="00ED0E0F" w:rsidRPr="00ED0E0F" w:rsidRDefault="00ED0E0F" w:rsidP="00ED0E0F">
      <w:pPr>
        <w:ind w:left="2880" w:firstLine="720"/>
        <w:rPr>
          <w:b/>
        </w:rPr>
      </w:pPr>
    </w:p>
    <w:p w14:paraId="20BC7369" w14:textId="77777777" w:rsidR="00ED0E0F" w:rsidRPr="00ED0E0F" w:rsidRDefault="00ED0E0F" w:rsidP="00ED0E0F">
      <w:pPr>
        <w:ind w:left="2880" w:firstLine="720"/>
        <w:rPr>
          <w:b/>
        </w:rPr>
      </w:pPr>
      <w:r w:rsidRPr="00ED0E0F">
        <w:rPr>
          <w:b/>
        </w:rPr>
        <w:t>Table 19</w:t>
      </w:r>
    </w:p>
    <w:p w14:paraId="78A4362B" w14:textId="77777777" w:rsidR="00ED0E0F" w:rsidRPr="00ED0E0F" w:rsidRDefault="00ED0E0F" w:rsidP="00ED0E0F">
      <w:pPr>
        <w:ind w:left="2160" w:firstLine="720"/>
        <w:rPr>
          <w:b/>
        </w:rPr>
      </w:pPr>
      <w:r w:rsidRPr="00ED0E0F">
        <w:rPr>
          <w:b/>
        </w:rPr>
        <w:t>Morris Area Housing Values</w:t>
      </w:r>
    </w:p>
    <w:tbl>
      <w:tblPr>
        <w:tblW w:w="7479" w:type="dxa"/>
        <w:tblInd w:w="93" w:type="dxa"/>
        <w:tblLook w:val="04A0" w:firstRow="1" w:lastRow="0" w:firstColumn="1" w:lastColumn="0" w:noHBand="0" w:noVBand="1"/>
      </w:tblPr>
      <w:tblGrid>
        <w:gridCol w:w="2666"/>
        <w:gridCol w:w="1652"/>
        <w:gridCol w:w="1627"/>
        <w:gridCol w:w="1534"/>
      </w:tblGrid>
      <w:tr w:rsidR="00ED0E0F" w:rsidRPr="00ED0E0F" w14:paraId="7065ABFC" w14:textId="77777777" w:rsidTr="00F16F2C">
        <w:trPr>
          <w:trHeight w:val="323"/>
        </w:trPr>
        <w:tc>
          <w:tcPr>
            <w:tcW w:w="2666" w:type="dxa"/>
            <w:tcBorders>
              <w:top w:val="nil"/>
              <w:left w:val="nil"/>
              <w:bottom w:val="nil"/>
              <w:right w:val="nil"/>
            </w:tcBorders>
            <w:shd w:val="clear" w:color="auto" w:fill="auto"/>
            <w:noWrap/>
            <w:vAlign w:val="bottom"/>
            <w:hideMark/>
          </w:tcPr>
          <w:p w14:paraId="4EBF0435" w14:textId="77777777" w:rsidR="00ED0E0F" w:rsidRPr="00ED0E0F" w:rsidRDefault="00ED0E0F" w:rsidP="00F16F2C">
            <w:pPr>
              <w:rPr>
                <w:rFonts w:eastAsia="Times New Roman"/>
                <w:color w:val="000000"/>
                <w:sz w:val="22"/>
                <w:szCs w:val="22"/>
                <w:u w:val="single"/>
              </w:rPr>
            </w:pPr>
            <w:r w:rsidRPr="00ED0E0F">
              <w:rPr>
                <w:rFonts w:eastAsia="Times New Roman"/>
                <w:color w:val="000000"/>
                <w:sz w:val="22"/>
                <w:szCs w:val="22"/>
                <w:u w:val="single"/>
              </w:rPr>
              <w:t>City</w:t>
            </w:r>
          </w:p>
        </w:tc>
        <w:tc>
          <w:tcPr>
            <w:tcW w:w="1652" w:type="dxa"/>
            <w:tcBorders>
              <w:top w:val="nil"/>
              <w:left w:val="nil"/>
              <w:bottom w:val="nil"/>
              <w:right w:val="nil"/>
            </w:tcBorders>
            <w:shd w:val="clear" w:color="auto" w:fill="auto"/>
            <w:noWrap/>
            <w:vAlign w:val="bottom"/>
            <w:hideMark/>
          </w:tcPr>
          <w:p w14:paraId="1111575F" w14:textId="77777777" w:rsidR="00ED0E0F" w:rsidRPr="00ED0E0F" w:rsidRDefault="00ED0E0F" w:rsidP="00F16F2C">
            <w:pPr>
              <w:rPr>
                <w:rFonts w:eastAsia="Times New Roman"/>
                <w:color w:val="000000"/>
                <w:sz w:val="22"/>
                <w:szCs w:val="22"/>
                <w:u w:val="single"/>
              </w:rPr>
            </w:pPr>
          </w:p>
          <w:p w14:paraId="6151A37D" w14:textId="77777777" w:rsidR="00ED0E0F" w:rsidRPr="00ED0E0F" w:rsidRDefault="00ED0E0F" w:rsidP="00F16F2C">
            <w:pPr>
              <w:rPr>
                <w:rFonts w:eastAsia="Times New Roman"/>
                <w:color w:val="000000"/>
                <w:sz w:val="22"/>
                <w:szCs w:val="22"/>
                <w:u w:val="single"/>
              </w:rPr>
            </w:pPr>
          </w:p>
          <w:p w14:paraId="13F9D34C" w14:textId="77777777" w:rsidR="00ED0E0F" w:rsidRPr="00ED0E0F" w:rsidRDefault="00ED0E0F" w:rsidP="00F16F2C">
            <w:pPr>
              <w:rPr>
                <w:rFonts w:eastAsia="Times New Roman"/>
                <w:color w:val="000000"/>
                <w:sz w:val="22"/>
                <w:szCs w:val="22"/>
                <w:u w:val="single"/>
              </w:rPr>
            </w:pPr>
            <w:r w:rsidRPr="00ED0E0F">
              <w:rPr>
                <w:rFonts w:eastAsia="Times New Roman"/>
                <w:color w:val="000000"/>
                <w:sz w:val="22"/>
                <w:szCs w:val="22"/>
                <w:u w:val="single"/>
              </w:rPr>
              <w:t xml:space="preserve">2000 Median Value </w:t>
            </w:r>
          </w:p>
        </w:tc>
        <w:tc>
          <w:tcPr>
            <w:tcW w:w="1627" w:type="dxa"/>
            <w:tcBorders>
              <w:top w:val="nil"/>
              <w:left w:val="nil"/>
              <w:bottom w:val="nil"/>
              <w:right w:val="nil"/>
            </w:tcBorders>
            <w:shd w:val="clear" w:color="auto" w:fill="auto"/>
            <w:noWrap/>
            <w:vAlign w:val="bottom"/>
            <w:hideMark/>
          </w:tcPr>
          <w:p w14:paraId="722BB8C3" w14:textId="77777777" w:rsidR="00ED0E0F" w:rsidRPr="00ED0E0F" w:rsidRDefault="00ED0E0F" w:rsidP="00F16F2C">
            <w:pPr>
              <w:rPr>
                <w:rFonts w:eastAsia="Times New Roman"/>
                <w:color w:val="000000"/>
                <w:sz w:val="22"/>
                <w:szCs w:val="22"/>
                <w:u w:val="single"/>
              </w:rPr>
            </w:pPr>
            <w:r w:rsidRPr="00ED0E0F">
              <w:rPr>
                <w:rFonts w:eastAsia="Times New Roman"/>
                <w:color w:val="000000"/>
                <w:sz w:val="22"/>
                <w:szCs w:val="22"/>
                <w:u w:val="single"/>
              </w:rPr>
              <w:t xml:space="preserve">2010 Median Value </w:t>
            </w:r>
          </w:p>
        </w:tc>
        <w:tc>
          <w:tcPr>
            <w:tcW w:w="1534" w:type="dxa"/>
            <w:tcBorders>
              <w:top w:val="nil"/>
              <w:left w:val="nil"/>
              <w:bottom w:val="nil"/>
              <w:right w:val="nil"/>
            </w:tcBorders>
            <w:shd w:val="clear" w:color="auto" w:fill="auto"/>
            <w:noWrap/>
            <w:vAlign w:val="bottom"/>
            <w:hideMark/>
          </w:tcPr>
          <w:p w14:paraId="125C0CD9" w14:textId="77777777" w:rsidR="00ED0E0F" w:rsidRPr="00ED0E0F" w:rsidRDefault="00ED0E0F" w:rsidP="00F16F2C">
            <w:pPr>
              <w:rPr>
                <w:rFonts w:eastAsia="Times New Roman"/>
                <w:color w:val="000000"/>
                <w:u w:val="single"/>
              </w:rPr>
            </w:pPr>
            <w:r w:rsidRPr="00ED0E0F">
              <w:rPr>
                <w:rFonts w:eastAsia="Times New Roman"/>
                <w:color w:val="000000"/>
                <w:u w:val="single"/>
              </w:rPr>
              <w:t>Percent Change</w:t>
            </w:r>
          </w:p>
        </w:tc>
      </w:tr>
      <w:tr w:rsidR="00ED0E0F" w:rsidRPr="00ED0E0F" w14:paraId="45D57CFB" w14:textId="77777777" w:rsidTr="00F16F2C">
        <w:trPr>
          <w:trHeight w:val="323"/>
        </w:trPr>
        <w:tc>
          <w:tcPr>
            <w:tcW w:w="2666" w:type="dxa"/>
            <w:tcBorders>
              <w:top w:val="nil"/>
              <w:left w:val="nil"/>
              <w:bottom w:val="nil"/>
              <w:right w:val="nil"/>
            </w:tcBorders>
            <w:shd w:val="clear" w:color="auto" w:fill="auto"/>
            <w:noWrap/>
            <w:vAlign w:val="bottom"/>
            <w:hideMark/>
          </w:tcPr>
          <w:p w14:paraId="0783C382"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Morris</w:t>
            </w:r>
          </w:p>
        </w:tc>
        <w:tc>
          <w:tcPr>
            <w:tcW w:w="1652" w:type="dxa"/>
            <w:tcBorders>
              <w:top w:val="nil"/>
              <w:left w:val="nil"/>
              <w:bottom w:val="nil"/>
              <w:right w:val="nil"/>
            </w:tcBorders>
            <w:shd w:val="clear" w:color="auto" w:fill="auto"/>
            <w:noWrap/>
            <w:vAlign w:val="bottom"/>
            <w:hideMark/>
          </w:tcPr>
          <w:p w14:paraId="64F00780"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70,900</w:t>
            </w:r>
          </w:p>
        </w:tc>
        <w:tc>
          <w:tcPr>
            <w:tcW w:w="1627" w:type="dxa"/>
            <w:tcBorders>
              <w:top w:val="nil"/>
              <w:left w:val="nil"/>
              <w:bottom w:val="nil"/>
              <w:right w:val="nil"/>
            </w:tcBorders>
            <w:shd w:val="clear" w:color="auto" w:fill="auto"/>
            <w:noWrap/>
            <w:vAlign w:val="bottom"/>
            <w:hideMark/>
          </w:tcPr>
          <w:p w14:paraId="675C98F5"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126,100</w:t>
            </w:r>
          </w:p>
        </w:tc>
        <w:tc>
          <w:tcPr>
            <w:tcW w:w="1534" w:type="dxa"/>
            <w:tcBorders>
              <w:top w:val="nil"/>
              <w:left w:val="nil"/>
              <w:bottom w:val="nil"/>
              <w:right w:val="nil"/>
            </w:tcBorders>
            <w:shd w:val="clear" w:color="auto" w:fill="auto"/>
            <w:noWrap/>
            <w:vAlign w:val="bottom"/>
            <w:hideMark/>
          </w:tcPr>
          <w:p w14:paraId="6664D893" w14:textId="77777777" w:rsidR="00ED0E0F" w:rsidRPr="00ED0E0F" w:rsidRDefault="00ED0E0F" w:rsidP="00F16F2C">
            <w:pPr>
              <w:rPr>
                <w:rFonts w:eastAsia="Times New Roman"/>
                <w:color w:val="000000"/>
              </w:rPr>
            </w:pPr>
            <w:r w:rsidRPr="00ED0E0F">
              <w:rPr>
                <w:rFonts w:eastAsia="Times New Roman"/>
                <w:color w:val="000000"/>
              </w:rPr>
              <w:t>43.8%</w:t>
            </w:r>
          </w:p>
        </w:tc>
      </w:tr>
      <w:tr w:rsidR="00ED0E0F" w:rsidRPr="00ED0E0F" w14:paraId="7E1AA5B8" w14:textId="77777777" w:rsidTr="00F16F2C">
        <w:trPr>
          <w:trHeight w:val="323"/>
        </w:trPr>
        <w:tc>
          <w:tcPr>
            <w:tcW w:w="2666" w:type="dxa"/>
            <w:tcBorders>
              <w:top w:val="nil"/>
              <w:left w:val="nil"/>
              <w:bottom w:val="nil"/>
              <w:right w:val="nil"/>
            </w:tcBorders>
            <w:shd w:val="clear" w:color="auto" w:fill="auto"/>
            <w:noWrap/>
            <w:vAlign w:val="bottom"/>
            <w:hideMark/>
          </w:tcPr>
          <w:p w14:paraId="2A289382"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Hancock</w:t>
            </w:r>
          </w:p>
        </w:tc>
        <w:tc>
          <w:tcPr>
            <w:tcW w:w="1652" w:type="dxa"/>
            <w:tcBorders>
              <w:top w:val="nil"/>
              <w:left w:val="nil"/>
              <w:bottom w:val="nil"/>
              <w:right w:val="nil"/>
            </w:tcBorders>
            <w:shd w:val="clear" w:color="auto" w:fill="auto"/>
            <w:noWrap/>
            <w:vAlign w:val="bottom"/>
            <w:hideMark/>
          </w:tcPr>
          <w:p w14:paraId="71AFB266"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40,000</w:t>
            </w:r>
          </w:p>
        </w:tc>
        <w:tc>
          <w:tcPr>
            <w:tcW w:w="1627" w:type="dxa"/>
            <w:tcBorders>
              <w:top w:val="nil"/>
              <w:left w:val="nil"/>
              <w:bottom w:val="nil"/>
              <w:right w:val="nil"/>
            </w:tcBorders>
            <w:shd w:val="clear" w:color="auto" w:fill="auto"/>
            <w:noWrap/>
            <w:vAlign w:val="bottom"/>
            <w:hideMark/>
          </w:tcPr>
          <w:p w14:paraId="7C5BDA87"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65,000</w:t>
            </w:r>
          </w:p>
        </w:tc>
        <w:tc>
          <w:tcPr>
            <w:tcW w:w="1534" w:type="dxa"/>
            <w:tcBorders>
              <w:top w:val="nil"/>
              <w:left w:val="nil"/>
              <w:bottom w:val="nil"/>
              <w:right w:val="nil"/>
            </w:tcBorders>
            <w:shd w:val="clear" w:color="auto" w:fill="auto"/>
            <w:noWrap/>
            <w:vAlign w:val="bottom"/>
            <w:hideMark/>
          </w:tcPr>
          <w:p w14:paraId="6ADB6766" w14:textId="77777777" w:rsidR="00ED0E0F" w:rsidRPr="00ED0E0F" w:rsidRDefault="00ED0E0F" w:rsidP="00F16F2C">
            <w:pPr>
              <w:rPr>
                <w:rFonts w:eastAsia="Times New Roman"/>
                <w:color w:val="000000"/>
              </w:rPr>
            </w:pPr>
            <w:r w:rsidRPr="00ED0E0F">
              <w:rPr>
                <w:rFonts w:eastAsia="Times New Roman"/>
                <w:color w:val="000000"/>
              </w:rPr>
              <w:t>38.5%</w:t>
            </w:r>
          </w:p>
        </w:tc>
      </w:tr>
      <w:tr w:rsidR="00ED0E0F" w:rsidRPr="00ED0E0F" w14:paraId="2BBFC1D4" w14:textId="77777777" w:rsidTr="00F16F2C">
        <w:trPr>
          <w:trHeight w:val="323"/>
        </w:trPr>
        <w:tc>
          <w:tcPr>
            <w:tcW w:w="2666" w:type="dxa"/>
            <w:tcBorders>
              <w:top w:val="nil"/>
              <w:left w:val="nil"/>
              <w:bottom w:val="nil"/>
              <w:right w:val="nil"/>
            </w:tcBorders>
            <w:shd w:val="clear" w:color="auto" w:fill="auto"/>
            <w:noWrap/>
            <w:vAlign w:val="bottom"/>
            <w:hideMark/>
          </w:tcPr>
          <w:p w14:paraId="5F5472D0" w14:textId="77777777" w:rsidR="00ED0E0F" w:rsidRPr="00ED0E0F" w:rsidRDefault="00ED0E0F" w:rsidP="00F16F2C">
            <w:pPr>
              <w:rPr>
                <w:rFonts w:eastAsia="Times New Roman"/>
                <w:color w:val="000000"/>
                <w:sz w:val="22"/>
                <w:szCs w:val="22"/>
              </w:rPr>
            </w:pPr>
            <w:proofErr w:type="spellStart"/>
            <w:r w:rsidRPr="00ED0E0F">
              <w:rPr>
                <w:rFonts w:eastAsia="Times New Roman"/>
                <w:color w:val="000000"/>
                <w:sz w:val="22"/>
                <w:szCs w:val="22"/>
              </w:rPr>
              <w:t>Chokio</w:t>
            </w:r>
            <w:proofErr w:type="spellEnd"/>
          </w:p>
        </w:tc>
        <w:tc>
          <w:tcPr>
            <w:tcW w:w="1652" w:type="dxa"/>
            <w:tcBorders>
              <w:top w:val="nil"/>
              <w:left w:val="nil"/>
              <w:bottom w:val="nil"/>
              <w:right w:val="nil"/>
            </w:tcBorders>
            <w:shd w:val="clear" w:color="auto" w:fill="auto"/>
            <w:noWrap/>
            <w:vAlign w:val="bottom"/>
            <w:hideMark/>
          </w:tcPr>
          <w:p w14:paraId="45C56FDA"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45,300</w:t>
            </w:r>
          </w:p>
        </w:tc>
        <w:tc>
          <w:tcPr>
            <w:tcW w:w="1627" w:type="dxa"/>
            <w:tcBorders>
              <w:top w:val="nil"/>
              <w:left w:val="nil"/>
              <w:bottom w:val="nil"/>
              <w:right w:val="nil"/>
            </w:tcBorders>
            <w:shd w:val="clear" w:color="auto" w:fill="auto"/>
            <w:noWrap/>
            <w:vAlign w:val="bottom"/>
            <w:hideMark/>
          </w:tcPr>
          <w:p w14:paraId="4260D350"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76,800</w:t>
            </w:r>
          </w:p>
        </w:tc>
        <w:tc>
          <w:tcPr>
            <w:tcW w:w="1534" w:type="dxa"/>
            <w:tcBorders>
              <w:top w:val="nil"/>
              <w:left w:val="nil"/>
              <w:bottom w:val="nil"/>
              <w:right w:val="nil"/>
            </w:tcBorders>
            <w:shd w:val="clear" w:color="auto" w:fill="auto"/>
            <w:noWrap/>
            <w:vAlign w:val="bottom"/>
            <w:hideMark/>
          </w:tcPr>
          <w:p w14:paraId="17978B17" w14:textId="77777777" w:rsidR="00ED0E0F" w:rsidRPr="00ED0E0F" w:rsidRDefault="00ED0E0F" w:rsidP="00F16F2C">
            <w:pPr>
              <w:rPr>
                <w:rFonts w:eastAsia="Times New Roman"/>
                <w:color w:val="000000"/>
              </w:rPr>
            </w:pPr>
            <w:r w:rsidRPr="00ED0E0F">
              <w:rPr>
                <w:rFonts w:eastAsia="Times New Roman"/>
                <w:color w:val="000000"/>
              </w:rPr>
              <w:t>41.0%</w:t>
            </w:r>
          </w:p>
        </w:tc>
      </w:tr>
      <w:tr w:rsidR="00ED0E0F" w:rsidRPr="00ED0E0F" w14:paraId="2B311EFD" w14:textId="77777777" w:rsidTr="00F16F2C">
        <w:trPr>
          <w:trHeight w:val="323"/>
        </w:trPr>
        <w:tc>
          <w:tcPr>
            <w:tcW w:w="2666" w:type="dxa"/>
            <w:tcBorders>
              <w:top w:val="nil"/>
              <w:left w:val="nil"/>
              <w:bottom w:val="nil"/>
              <w:right w:val="nil"/>
            </w:tcBorders>
            <w:shd w:val="clear" w:color="auto" w:fill="auto"/>
            <w:noWrap/>
            <w:vAlign w:val="bottom"/>
            <w:hideMark/>
          </w:tcPr>
          <w:p w14:paraId="767BBF00"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Donnelly</w:t>
            </w:r>
          </w:p>
        </w:tc>
        <w:tc>
          <w:tcPr>
            <w:tcW w:w="1652" w:type="dxa"/>
            <w:tcBorders>
              <w:top w:val="nil"/>
              <w:left w:val="nil"/>
              <w:bottom w:val="nil"/>
              <w:right w:val="nil"/>
            </w:tcBorders>
            <w:shd w:val="clear" w:color="auto" w:fill="auto"/>
            <w:noWrap/>
            <w:vAlign w:val="bottom"/>
            <w:hideMark/>
          </w:tcPr>
          <w:p w14:paraId="045B4CCD"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44,500</w:t>
            </w:r>
          </w:p>
        </w:tc>
        <w:tc>
          <w:tcPr>
            <w:tcW w:w="1627" w:type="dxa"/>
            <w:tcBorders>
              <w:top w:val="nil"/>
              <w:left w:val="nil"/>
              <w:bottom w:val="nil"/>
              <w:right w:val="nil"/>
            </w:tcBorders>
            <w:shd w:val="clear" w:color="auto" w:fill="auto"/>
            <w:noWrap/>
            <w:vAlign w:val="bottom"/>
            <w:hideMark/>
          </w:tcPr>
          <w:p w14:paraId="3D9E1A3B"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78,600</w:t>
            </w:r>
          </w:p>
        </w:tc>
        <w:tc>
          <w:tcPr>
            <w:tcW w:w="1534" w:type="dxa"/>
            <w:tcBorders>
              <w:top w:val="nil"/>
              <w:left w:val="nil"/>
              <w:bottom w:val="nil"/>
              <w:right w:val="nil"/>
            </w:tcBorders>
            <w:shd w:val="clear" w:color="auto" w:fill="auto"/>
            <w:noWrap/>
            <w:vAlign w:val="bottom"/>
            <w:hideMark/>
          </w:tcPr>
          <w:p w14:paraId="75612764" w14:textId="77777777" w:rsidR="00ED0E0F" w:rsidRPr="00ED0E0F" w:rsidRDefault="00ED0E0F" w:rsidP="00F16F2C">
            <w:pPr>
              <w:rPr>
                <w:rFonts w:eastAsia="Times New Roman"/>
                <w:color w:val="000000"/>
              </w:rPr>
            </w:pPr>
            <w:r w:rsidRPr="00ED0E0F">
              <w:rPr>
                <w:rFonts w:eastAsia="Times New Roman"/>
                <w:color w:val="000000"/>
              </w:rPr>
              <w:t>43.4%</w:t>
            </w:r>
          </w:p>
        </w:tc>
      </w:tr>
      <w:tr w:rsidR="00ED0E0F" w:rsidRPr="00ED0E0F" w14:paraId="226C79F3" w14:textId="77777777" w:rsidTr="00F16F2C">
        <w:trPr>
          <w:trHeight w:val="323"/>
        </w:trPr>
        <w:tc>
          <w:tcPr>
            <w:tcW w:w="2666" w:type="dxa"/>
            <w:tcBorders>
              <w:top w:val="nil"/>
              <w:left w:val="nil"/>
              <w:bottom w:val="nil"/>
              <w:right w:val="nil"/>
            </w:tcBorders>
            <w:shd w:val="clear" w:color="auto" w:fill="auto"/>
            <w:noWrap/>
            <w:vAlign w:val="bottom"/>
            <w:hideMark/>
          </w:tcPr>
          <w:p w14:paraId="167EACE6" w14:textId="77777777" w:rsidR="00ED0E0F" w:rsidRPr="00ED0E0F" w:rsidRDefault="00ED0E0F" w:rsidP="00F16F2C">
            <w:pPr>
              <w:rPr>
                <w:rFonts w:eastAsia="Times New Roman"/>
                <w:color w:val="000000"/>
              </w:rPr>
            </w:pPr>
            <w:r w:rsidRPr="00ED0E0F">
              <w:rPr>
                <w:rFonts w:eastAsia="Times New Roman"/>
                <w:color w:val="000000"/>
              </w:rPr>
              <w:t>Alberta</w:t>
            </w:r>
          </w:p>
        </w:tc>
        <w:tc>
          <w:tcPr>
            <w:tcW w:w="1652" w:type="dxa"/>
            <w:tcBorders>
              <w:top w:val="nil"/>
              <w:left w:val="nil"/>
              <w:bottom w:val="nil"/>
              <w:right w:val="nil"/>
            </w:tcBorders>
            <w:shd w:val="clear" w:color="auto" w:fill="auto"/>
            <w:noWrap/>
            <w:vAlign w:val="bottom"/>
            <w:hideMark/>
          </w:tcPr>
          <w:p w14:paraId="14BBB6FE" w14:textId="77777777" w:rsidR="00ED0E0F" w:rsidRPr="00ED0E0F" w:rsidRDefault="00ED0E0F" w:rsidP="00F16F2C">
            <w:pPr>
              <w:rPr>
                <w:rFonts w:eastAsia="Times New Roman"/>
                <w:color w:val="000000"/>
              </w:rPr>
            </w:pPr>
            <w:r w:rsidRPr="00ED0E0F">
              <w:rPr>
                <w:rFonts w:eastAsia="Times New Roman"/>
                <w:color w:val="000000"/>
              </w:rPr>
              <w:t>38,000</w:t>
            </w:r>
          </w:p>
        </w:tc>
        <w:tc>
          <w:tcPr>
            <w:tcW w:w="1627" w:type="dxa"/>
            <w:tcBorders>
              <w:top w:val="nil"/>
              <w:left w:val="nil"/>
              <w:bottom w:val="nil"/>
              <w:right w:val="nil"/>
            </w:tcBorders>
            <w:shd w:val="clear" w:color="auto" w:fill="auto"/>
            <w:noWrap/>
            <w:vAlign w:val="bottom"/>
            <w:hideMark/>
          </w:tcPr>
          <w:p w14:paraId="0067F409" w14:textId="77777777" w:rsidR="00ED0E0F" w:rsidRPr="00ED0E0F" w:rsidRDefault="00ED0E0F" w:rsidP="00F16F2C">
            <w:pPr>
              <w:rPr>
                <w:rFonts w:eastAsia="Times New Roman"/>
                <w:color w:val="000000"/>
              </w:rPr>
            </w:pPr>
            <w:r w:rsidRPr="00ED0E0F">
              <w:rPr>
                <w:rFonts w:eastAsia="Times New Roman"/>
                <w:color w:val="000000"/>
              </w:rPr>
              <w:t>48,600</w:t>
            </w:r>
          </w:p>
        </w:tc>
        <w:tc>
          <w:tcPr>
            <w:tcW w:w="1534" w:type="dxa"/>
            <w:tcBorders>
              <w:top w:val="nil"/>
              <w:left w:val="nil"/>
              <w:bottom w:val="nil"/>
              <w:right w:val="nil"/>
            </w:tcBorders>
            <w:shd w:val="clear" w:color="auto" w:fill="auto"/>
            <w:noWrap/>
            <w:vAlign w:val="bottom"/>
            <w:hideMark/>
          </w:tcPr>
          <w:p w14:paraId="2F09B4DE" w14:textId="77777777" w:rsidR="00ED0E0F" w:rsidRPr="00ED0E0F" w:rsidRDefault="00ED0E0F" w:rsidP="00F16F2C">
            <w:pPr>
              <w:rPr>
                <w:rFonts w:eastAsia="Times New Roman"/>
                <w:color w:val="000000"/>
              </w:rPr>
            </w:pPr>
            <w:r w:rsidRPr="00ED0E0F">
              <w:rPr>
                <w:rFonts w:eastAsia="Times New Roman"/>
                <w:color w:val="000000"/>
              </w:rPr>
              <w:t>21.8%</w:t>
            </w:r>
          </w:p>
        </w:tc>
      </w:tr>
    </w:tbl>
    <w:p w14:paraId="24D3998B" w14:textId="77777777" w:rsidR="00ED0E0F" w:rsidRPr="00ED0E0F" w:rsidRDefault="00ED0E0F" w:rsidP="00ED0E0F">
      <w:pPr>
        <w:rPr>
          <w:b/>
        </w:rPr>
      </w:pPr>
    </w:p>
    <w:p w14:paraId="368F2436" w14:textId="36C5D5D1" w:rsidR="00ED0E0F" w:rsidRPr="00ED0E0F" w:rsidRDefault="00ED0E0F" w:rsidP="00ED0E0F">
      <w:r w:rsidRPr="00ED0E0F">
        <w:rPr>
          <w:b/>
        </w:rPr>
        <w:t xml:space="preserve">Housing Values </w:t>
      </w:r>
      <w:r w:rsidRPr="00ED0E0F">
        <w:t xml:space="preserve">In both 2000 and 2010 Morris has the highest median housing value amount </w:t>
      </w:r>
      <w:r>
        <w:t xml:space="preserve">of all of </w:t>
      </w:r>
      <w:r w:rsidRPr="00ED0E0F">
        <w:t>the cities in the county. Morris housing value doubles that of Alberta in 2010. With a percent change of 43.8% Morris has the highe</w:t>
      </w:r>
      <w:r>
        <w:t>st increase in housing value fro</w:t>
      </w:r>
      <w:r w:rsidRPr="00ED0E0F">
        <w:t>m 2000 to 2010.</w:t>
      </w:r>
    </w:p>
    <w:p w14:paraId="2C6D09A7" w14:textId="77777777" w:rsidR="00ED0E0F" w:rsidRPr="00ED0E0F" w:rsidRDefault="00ED0E0F" w:rsidP="00ED0E0F">
      <w:pPr>
        <w:ind w:left="720" w:firstLine="720"/>
      </w:pPr>
    </w:p>
    <w:p w14:paraId="6E1823EE" w14:textId="77777777" w:rsidR="00ED0E0F" w:rsidRPr="00ED0E0F" w:rsidRDefault="00ED0E0F" w:rsidP="00ED0E0F">
      <w:pPr>
        <w:ind w:left="720" w:firstLine="720"/>
        <w:rPr>
          <w:b/>
        </w:rPr>
      </w:pPr>
    </w:p>
    <w:p w14:paraId="2F27609E" w14:textId="77777777" w:rsidR="00ED0E0F" w:rsidRPr="00ED0E0F" w:rsidRDefault="00ED0E0F" w:rsidP="00ED0E0F">
      <w:pPr>
        <w:ind w:left="720" w:firstLine="720"/>
        <w:rPr>
          <w:b/>
        </w:rPr>
      </w:pPr>
    </w:p>
    <w:p w14:paraId="14B24A51" w14:textId="77777777" w:rsidR="00ED0E0F" w:rsidRPr="00ED0E0F" w:rsidRDefault="00ED0E0F" w:rsidP="00ED0E0F">
      <w:pPr>
        <w:rPr>
          <w:b/>
        </w:rPr>
      </w:pPr>
      <w:r w:rsidRPr="00ED0E0F">
        <w:rPr>
          <w:b/>
        </w:rPr>
        <w:t xml:space="preserve">                  Table 25</w:t>
      </w:r>
    </w:p>
    <w:p w14:paraId="16D9D2C1" w14:textId="77777777" w:rsidR="00ED0E0F" w:rsidRPr="00ED0E0F" w:rsidRDefault="00ED0E0F" w:rsidP="00ED0E0F">
      <w:pPr>
        <w:rPr>
          <w:b/>
        </w:rPr>
      </w:pPr>
      <w:r w:rsidRPr="00ED0E0F">
        <w:rPr>
          <w:b/>
        </w:rPr>
        <w:t>2010 Median Household Income</w:t>
      </w:r>
    </w:p>
    <w:tbl>
      <w:tblPr>
        <w:tblW w:w="3660" w:type="dxa"/>
        <w:tblInd w:w="93" w:type="dxa"/>
        <w:tblLook w:val="04A0" w:firstRow="1" w:lastRow="0" w:firstColumn="1" w:lastColumn="0" w:noHBand="0" w:noVBand="1"/>
      </w:tblPr>
      <w:tblGrid>
        <w:gridCol w:w="2260"/>
        <w:gridCol w:w="1400"/>
      </w:tblGrid>
      <w:tr w:rsidR="00ED0E0F" w:rsidRPr="00ED0E0F" w14:paraId="0D1F6612" w14:textId="77777777" w:rsidTr="00F16F2C">
        <w:trPr>
          <w:trHeight w:val="300"/>
        </w:trPr>
        <w:tc>
          <w:tcPr>
            <w:tcW w:w="2260" w:type="dxa"/>
            <w:tcBorders>
              <w:top w:val="nil"/>
              <w:left w:val="nil"/>
              <w:bottom w:val="nil"/>
              <w:right w:val="nil"/>
            </w:tcBorders>
            <w:shd w:val="clear" w:color="auto" w:fill="auto"/>
            <w:noWrap/>
            <w:vAlign w:val="bottom"/>
            <w:hideMark/>
          </w:tcPr>
          <w:p w14:paraId="3D76FAF9" w14:textId="77777777" w:rsidR="00ED0E0F" w:rsidRPr="00ED0E0F" w:rsidRDefault="00ED0E0F" w:rsidP="00F16F2C">
            <w:pPr>
              <w:rPr>
                <w:rFonts w:eastAsia="Times New Roman"/>
                <w:color w:val="222222"/>
                <w:sz w:val="22"/>
                <w:szCs w:val="22"/>
                <w:u w:val="single"/>
              </w:rPr>
            </w:pPr>
            <w:r w:rsidRPr="00ED0E0F">
              <w:rPr>
                <w:rFonts w:eastAsia="Times New Roman"/>
                <w:color w:val="222222"/>
                <w:sz w:val="22"/>
                <w:szCs w:val="22"/>
                <w:u w:val="single"/>
              </w:rPr>
              <w:t>City</w:t>
            </w:r>
          </w:p>
        </w:tc>
        <w:tc>
          <w:tcPr>
            <w:tcW w:w="1400" w:type="dxa"/>
            <w:tcBorders>
              <w:top w:val="nil"/>
              <w:left w:val="nil"/>
              <w:bottom w:val="nil"/>
              <w:right w:val="nil"/>
            </w:tcBorders>
            <w:shd w:val="clear" w:color="auto" w:fill="auto"/>
            <w:noWrap/>
            <w:vAlign w:val="bottom"/>
            <w:hideMark/>
          </w:tcPr>
          <w:p w14:paraId="1886F987" w14:textId="77777777" w:rsidR="00ED0E0F" w:rsidRPr="00ED0E0F" w:rsidRDefault="00ED0E0F" w:rsidP="00F16F2C">
            <w:pPr>
              <w:jc w:val="right"/>
              <w:rPr>
                <w:rFonts w:eastAsia="Times New Roman"/>
                <w:color w:val="222222"/>
                <w:sz w:val="22"/>
                <w:szCs w:val="22"/>
                <w:u w:val="single"/>
              </w:rPr>
            </w:pPr>
            <w:r w:rsidRPr="00ED0E0F">
              <w:rPr>
                <w:rFonts w:eastAsia="Times New Roman"/>
                <w:color w:val="222222"/>
                <w:sz w:val="22"/>
                <w:szCs w:val="22"/>
                <w:u w:val="single"/>
              </w:rPr>
              <w:t>2010</w:t>
            </w:r>
          </w:p>
        </w:tc>
      </w:tr>
      <w:tr w:rsidR="00ED0E0F" w:rsidRPr="00ED0E0F" w14:paraId="504BBC17" w14:textId="77777777" w:rsidTr="00F16F2C">
        <w:trPr>
          <w:trHeight w:val="300"/>
        </w:trPr>
        <w:tc>
          <w:tcPr>
            <w:tcW w:w="2260" w:type="dxa"/>
            <w:tcBorders>
              <w:top w:val="nil"/>
              <w:left w:val="nil"/>
              <w:bottom w:val="nil"/>
              <w:right w:val="nil"/>
            </w:tcBorders>
            <w:shd w:val="clear" w:color="auto" w:fill="auto"/>
            <w:noWrap/>
            <w:vAlign w:val="bottom"/>
            <w:hideMark/>
          </w:tcPr>
          <w:p w14:paraId="089B7298"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Morris</w:t>
            </w:r>
          </w:p>
        </w:tc>
        <w:tc>
          <w:tcPr>
            <w:tcW w:w="1400" w:type="dxa"/>
            <w:tcBorders>
              <w:top w:val="nil"/>
              <w:left w:val="nil"/>
              <w:bottom w:val="nil"/>
              <w:right w:val="nil"/>
            </w:tcBorders>
            <w:shd w:val="clear" w:color="auto" w:fill="auto"/>
            <w:noWrap/>
            <w:vAlign w:val="bottom"/>
            <w:hideMark/>
          </w:tcPr>
          <w:p w14:paraId="4E87F195"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$38,511</w:t>
            </w:r>
          </w:p>
        </w:tc>
      </w:tr>
      <w:tr w:rsidR="00ED0E0F" w:rsidRPr="00ED0E0F" w14:paraId="7D9A557B" w14:textId="77777777" w:rsidTr="00F16F2C">
        <w:trPr>
          <w:trHeight w:val="300"/>
        </w:trPr>
        <w:tc>
          <w:tcPr>
            <w:tcW w:w="2260" w:type="dxa"/>
            <w:tcBorders>
              <w:top w:val="nil"/>
              <w:left w:val="nil"/>
              <w:bottom w:val="nil"/>
              <w:right w:val="nil"/>
            </w:tcBorders>
            <w:shd w:val="clear" w:color="auto" w:fill="auto"/>
            <w:noWrap/>
            <w:vAlign w:val="bottom"/>
            <w:hideMark/>
          </w:tcPr>
          <w:p w14:paraId="047BABD4"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Hancock</w:t>
            </w:r>
          </w:p>
        </w:tc>
        <w:tc>
          <w:tcPr>
            <w:tcW w:w="1400" w:type="dxa"/>
            <w:tcBorders>
              <w:top w:val="nil"/>
              <w:left w:val="nil"/>
              <w:bottom w:val="nil"/>
              <w:right w:val="nil"/>
            </w:tcBorders>
            <w:shd w:val="clear" w:color="auto" w:fill="auto"/>
            <w:noWrap/>
            <w:vAlign w:val="bottom"/>
            <w:hideMark/>
          </w:tcPr>
          <w:p w14:paraId="177BA5F5"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$40,547</w:t>
            </w:r>
          </w:p>
        </w:tc>
      </w:tr>
      <w:tr w:rsidR="00ED0E0F" w:rsidRPr="00ED0E0F" w14:paraId="0436CC87" w14:textId="77777777" w:rsidTr="00F16F2C">
        <w:trPr>
          <w:trHeight w:val="300"/>
        </w:trPr>
        <w:tc>
          <w:tcPr>
            <w:tcW w:w="2260" w:type="dxa"/>
            <w:tcBorders>
              <w:top w:val="nil"/>
              <w:left w:val="nil"/>
              <w:bottom w:val="nil"/>
              <w:right w:val="nil"/>
            </w:tcBorders>
            <w:shd w:val="clear" w:color="auto" w:fill="auto"/>
            <w:noWrap/>
            <w:vAlign w:val="bottom"/>
            <w:hideMark/>
          </w:tcPr>
          <w:p w14:paraId="24CE59B4" w14:textId="77777777" w:rsidR="00ED0E0F" w:rsidRPr="00ED0E0F" w:rsidRDefault="00ED0E0F" w:rsidP="00F16F2C">
            <w:pPr>
              <w:rPr>
                <w:rFonts w:eastAsia="Times New Roman"/>
                <w:color w:val="222222"/>
                <w:sz w:val="22"/>
                <w:szCs w:val="22"/>
              </w:rPr>
            </w:pPr>
            <w:proofErr w:type="spellStart"/>
            <w:r w:rsidRPr="00ED0E0F">
              <w:rPr>
                <w:rFonts w:eastAsia="Times New Roman"/>
                <w:color w:val="222222"/>
                <w:sz w:val="22"/>
                <w:szCs w:val="22"/>
              </w:rPr>
              <w:t>Chokio</w:t>
            </w:r>
            <w:proofErr w:type="spellEnd"/>
          </w:p>
        </w:tc>
        <w:tc>
          <w:tcPr>
            <w:tcW w:w="1400" w:type="dxa"/>
            <w:tcBorders>
              <w:top w:val="nil"/>
              <w:left w:val="nil"/>
              <w:bottom w:val="nil"/>
              <w:right w:val="nil"/>
            </w:tcBorders>
            <w:shd w:val="clear" w:color="auto" w:fill="auto"/>
            <w:noWrap/>
            <w:vAlign w:val="bottom"/>
            <w:hideMark/>
          </w:tcPr>
          <w:p w14:paraId="1B541859"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$41,563</w:t>
            </w:r>
          </w:p>
        </w:tc>
      </w:tr>
      <w:tr w:rsidR="00ED0E0F" w:rsidRPr="00ED0E0F" w14:paraId="7BE689A3" w14:textId="77777777" w:rsidTr="00F16F2C">
        <w:trPr>
          <w:trHeight w:val="300"/>
        </w:trPr>
        <w:tc>
          <w:tcPr>
            <w:tcW w:w="2260" w:type="dxa"/>
            <w:tcBorders>
              <w:top w:val="nil"/>
              <w:left w:val="nil"/>
              <w:bottom w:val="nil"/>
              <w:right w:val="nil"/>
            </w:tcBorders>
            <w:shd w:val="clear" w:color="auto" w:fill="auto"/>
            <w:noWrap/>
            <w:vAlign w:val="bottom"/>
            <w:hideMark/>
          </w:tcPr>
          <w:p w14:paraId="45510161"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Donnelly</w:t>
            </w:r>
          </w:p>
        </w:tc>
        <w:tc>
          <w:tcPr>
            <w:tcW w:w="1400" w:type="dxa"/>
            <w:tcBorders>
              <w:top w:val="nil"/>
              <w:left w:val="nil"/>
              <w:bottom w:val="nil"/>
              <w:right w:val="nil"/>
            </w:tcBorders>
            <w:shd w:val="clear" w:color="auto" w:fill="auto"/>
            <w:noWrap/>
            <w:vAlign w:val="bottom"/>
            <w:hideMark/>
          </w:tcPr>
          <w:p w14:paraId="4FAEB1C4"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$35,625</w:t>
            </w:r>
          </w:p>
        </w:tc>
      </w:tr>
      <w:tr w:rsidR="00ED0E0F" w:rsidRPr="00ED0E0F" w14:paraId="77CC3B49" w14:textId="77777777" w:rsidTr="00F16F2C">
        <w:trPr>
          <w:trHeight w:val="300"/>
        </w:trPr>
        <w:tc>
          <w:tcPr>
            <w:tcW w:w="2260" w:type="dxa"/>
            <w:tcBorders>
              <w:top w:val="nil"/>
              <w:left w:val="nil"/>
              <w:bottom w:val="nil"/>
              <w:right w:val="nil"/>
            </w:tcBorders>
            <w:shd w:val="clear" w:color="auto" w:fill="auto"/>
            <w:noWrap/>
            <w:vAlign w:val="bottom"/>
            <w:hideMark/>
          </w:tcPr>
          <w:p w14:paraId="563B1F76"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Alberta</w:t>
            </w:r>
          </w:p>
        </w:tc>
        <w:tc>
          <w:tcPr>
            <w:tcW w:w="1400" w:type="dxa"/>
            <w:tcBorders>
              <w:top w:val="nil"/>
              <w:left w:val="nil"/>
              <w:bottom w:val="nil"/>
              <w:right w:val="nil"/>
            </w:tcBorders>
            <w:shd w:val="clear" w:color="auto" w:fill="auto"/>
            <w:noWrap/>
            <w:vAlign w:val="bottom"/>
            <w:hideMark/>
          </w:tcPr>
          <w:p w14:paraId="3532C56A"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$37,750</w:t>
            </w:r>
          </w:p>
        </w:tc>
      </w:tr>
    </w:tbl>
    <w:p w14:paraId="710B602B" w14:textId="77777777" w:rsidR="00ED0E0F" w:rsidRPr="00ED0E0F" w:rsidRDefault="00ED0E0F" w:rsidP="00ED0E0F">
      <w:pPr>
        <w:rPr>
          <w:b/>
        </w:rPr>
      </w:pPr>
    </w:p>
    <w:tbl>
      <w:tblPr>
        <w:tblW w:w="8480" w:type="dxa"/>
        <w:tblInd w:w="93" w:type="dxa"/>
        <w:tblLook w:val="04A0" w:firstRow="1" w:lastRow="0" w:firstColumn="1" w:lastColumn="0" w:noHBand="0" w:noVBand="1"/>
      </w:tblPr>
      <w:tblGrid>
        <w:gridCol w:w="2531"/>
        <w:gridCol w:w="1475"/>
        <w:gridCol w:w="2214"/>
        <w:gridCol w:w="674"/>
        <w:gridCol w:w="1586"/>
      </w:tblGrid>
      <w:tr w:rsidR="00ED0E0F" w:rsidRPr="00ED0E0F" w14:paraId="2440284A" w14:textId="77777777" w:rsidTr="00F16F2C">
        <w:trPr>
          <w:gridAfter w:val="1"/>
          <w:wAfter w:w="1586" w:type="dxa"/>
          <w:trHeight w:val="311"/>
        </w:trPr>
        <w:tc>
          <w:tcPr>
            <w:tcW w:w="6894" w:type="dxa"/>
            <w:gridSpan w:val="4"/>
            <w:tcBorders>
              <w:top w:val="nil"/>
              <w:left w:val="nil"/>
              <w:bottom w:val="nil"/>
              <w:right w:val="nil"/>
            </w:tcBorders>
            <w:shd w:val="clear" w:color="auto" w:fill="auto"/>
            <w:noWrap/>
            <w:vAlign w:val="bottom"/>
            <w:hideMark/>
          </w:tcPr>
          <w:p w14:paraId="5C754D2D" w14:textId="16509364" w:rsidR="00ED0E0F" w:rsidRPr="00ED0E0F" w:rsidRDefault="00ED0E0F" w:rsidP="00F16F2C">
            <w:pPr>
              <w:jc w:val="both"/>
              <w:rPr>
                <w:rFonts w:eastAsia="Times New Roman"/>
                <w:color w:val="000000"/>
              </w:rPr>
            </w:pPr>
            <w:r w:rsidRPr="00ED0E0F">
              <w:rPr>
                <w:rFonts w:eastAsia="Times New Roman"/>
                <w:b/>
                <w:color w:val="000000"/>
              </w:rPr>
              <w:t>Median Household Income</w:t>
            </w:r>
            <w:r>
              <w:rPr>
                <w:rFonts w:eastAsia="Times New Roman"/>
                <w:color w:val="000000"/>
              </w:rPr>
              <w:t xml:space="preserve"> </w:t>
            </w:r>
            <w:r w:rsidRPr="00ED0E0F">
              <w:rPr>
                <w:rFonts w:eastAsia="Times New Roman"/>
                <w:color w:val="000000"/>
              </w:rPr>
              <w:t xml:space="preserve">In Morris, the median household </w:t>
            </w:r>
            <w:r>
              <w:rPr>
                <w:rFonts w:eastAsia="Times New Roman"/>
                <w:color w:val="000000"/>
              </w:rPr>
              <w:t xml:space="preserve">income </w:t>
            </w:r>
            <w:r w:rsidRPr="00ED0E0F">
              <w:rPr>
                <w:rFonts w:eastAsia="Times New Roman"/>
                <w:color w:val="000000"/>
              </w:rPr>
              <w:t>went f</w:t>
            </w:r>
            <w:r>
              <w:rPr>
                <w:rFonts w:eastAsia="Times New Roman"/>
                <w:color w:val="000000"/>
              </w:rPr>
              <w:t>rom $31,786 in 2000 to $38,511 in</w:t>
            </w:r>
            <w:r w:rsidRPr="00ED0E0F">
              <w:rPr>
                <w:rFonts w:eastAsia="Times New Roman"/>
                <w:color w:val="000000"/>
              </w:rPr>
              <w:t xml:space="preserve"> 2010, an increase of 17.5%. Table 25 shows that Morris has the third lowest median household income of the cities in the county </w:t>
            </w:r>
          </w:p>
          <w:p w14:paraId="1B1EA56B" w14:textId="77777777" w:rsidR="00ED0E0F" w:rsidRPr="00ED0E0F" w:rsidRDefault="00ED0E0F" w:rsidP="00F16F2C">
            <w:pPr>
              <w:rPr>
                <w:rFonts w:eastAsia="Times New Roman"/>
                <w:color w:val="000000"/>
                <w:u w:val="single"/>
              </w:rPr>
            </w:pPr>
          </w:p>
          <w:p w14:paraId="01BCCD32" w14:textId="77777777" w:rsidR="00ED0E0F" w:rsidRPr="00ED0E0F" w:rsidRDefault="00ED0E0F" w:rsidP="00F16F2C">
            <w:pPr>
              <w:rPr>
                <w:rFonts w:eastAsia="Times New Roman"/>
                <w:color w:val="000000"/>
                <w:u w:val="single"/>
              </w:rPr>
            </w:pPr>
          </w:p>
          <w:p w14:paraId="4318AA0A" w14:textId="77777777" w:rsidR="00ED0E0F" w:rsidRPr="00ED0E0F" w:rsidRDefault="00ED0E0F" w:rsidP="00F16F2C">
            <w:pPr>
              <w:rPr>
                <w:rFonts w:eastAsia="Times New Roman"/>
                <w:color w:val="000000"/>
                <w:u w:val="single"/>
              </w:rPr>
            </w:pPr>
          </w:p>
        </w:tc>
      </w:tr>
      <w:tr w:rsidR="00ED0E0F" w:rsidRPr="00ED0E0F" w14:paraId="1FA70495" w14:textId="77777777" w:rsidTr="00F16F2C">
        <w:trPr>
          <w:trHeight w:val="323"/>
        </w:trPr>
        <w:tc>
          <w:tcPr>
            <w:tcW w:w="2531" w:type="dxa"/>
            <w:tcBorders>
              <w:top w:val="nil"/>
              <w:left w:val="nil"/>
              <w:bottom w:val="nil"/>
              <w:right w:val="nil"/>
            </w:tcBorders>
            <w:shd w:val="clear" w:color="auto" w:fill="auto"/>
            <w:noWrap/>
            <w:vAlign w:val="bottom"/>
            <w:hideMark/>
          </w:tcPr>
          <w:p w14:paraId="4C566384" w14:textId="77777777" w:rsidR="00ED0E0F" w:rsidRPr="00ED0E0F" w:rsidRDefault="00ED0E0F" w:rsidP="00F16F2C">
            <w:pPr>
              <w:rPr>
                <w:rFonts w:eastAsia="Times New Roman"/>
                <w:color w:val="222222"/>
                <w:sz w:val="22"/>
                <w:szCs w:val="22"/>
              </w:rPr>
            </w:pPr>
          </w:p>
          <w:p w14:paraId="2934A77B" w14:textId="77777777" w:rsidR="00ED0E0F" w:rsidRPr="00ED0E0F" w:rsidRDefault="00ED0E0F" w:rsidP="00F16F2C">
            <w:pPr>
              <w:rPr>
                <w:rFonts w:eastAsia="Times New Roman"/>
                <w:color w:val="222222"/>
                <w:sz w:val="22"/>
                <w:szCs w:val="22"/>
              </w:rPr>
            </w:pPr>
          </w:p>
          <w:p w14:paraId="6409DC11" w14:textId="77777777" w:rsidR="00ED0E0F" w:rsidRPr="00ED0E0F" w:rsidRDefault="00ED0E0F" w:rsidP="00F16F2C">
            <w:pPr>
              <w:rPr>
                <w:rFonts w:eastAsia="Times New Roman"/>
                <w:color w:val="222222"/>
                <w:sz w:val="22"/>
                <w:szCs w:val="22"/>
              </w:rPr>
            </w:pPr>
          </w:p>
          <w:p w14:paraId="694C75D4" w14:textId="77777777" w:rsidR="00ED0E0F" w:rsidRPr="00ED0E0F" w:rsidRDefault="00ED0E0F" w:rsidP="00F16F2C">
            <w:pPr>
              <w:rPr>
                <w:rFonts w:eastAsia="Times New Roman"/>
                <w:color w:val="222222"/>
                <w:sz w:val="22"/>
                <w:szCs w:val="22"/>
              </w:rPr>
            </w:pPr>
          </w:p>
          <w:p w14:paraId="3551374F" w14:textId="77777777" w:rsidR="00ED0E0F" w:rsidRPr="00ED0E0F" w:rsidRDefault="00ED0E0F" w:rsidP="00F16F2C">
            <w:pPr>
              <w:rPr>
                <w:rFonts w:eastAsia="Times New Roman"/>
                <w:color w:val="222222"/>
                <w:sz w:val="22"/>
                <w:szCs w:val="22"/>
              </w:rPr>
            </w:pPr>
          </w:p>
          <w:p w14:paraId="07C39DC1" w14:textId="77777777" w:rsidR="00ED0E0F" w:rsidRPr="00ED0E0F" w:rsidRDefault="00ED0E0F" w:rsidP="00F16F2C">
            <w:pPr>
              <w:rPr>
                <w:rFonts w:eastAsia="Times New Roman"/>
                <w:color w:val="222222"/>
                <w:sz w:val="22"/>
                <w:szCs w:val="22"/>
              </w:rPr>
            </w:pPr>
          </w:p>
          <w:p w14:paraId="7687B699" w14:textId="77777777" w:rsidR="00ED0E0F" w:rsidRPr="00ED0E0F" w:rsidRDefault="00ED0E0F" w:rsidP="00F16F2C">
            <w:pPr>
              <w:rPr>
                <w:rFonts w:eastAsia="Times New Roman"/>
                <w:color w:val="222222"/>
                <w:sz w:val="22"/>
                <w:szCs w:val="22"/>
              </w:rPr>
            </w:pPr>
          </w:p>
        </w:tc>
        <w:tc>
          <w:tcPr>
            <w:tcW w:w="1475" w:type="dxa"/>
            <w:tcBorders>
              <w:top w:val="nil"/>
              <w:left w:val="nil"/>
              <w:bottom w:val="nil"/>
              <w:right w:val="nil"/>
            </w:tcBorders>
            <w:shd w:val="clear" w:color="auto" w:fill="auto"/>
            <w:noWrap/>
            <w:vAlign w:val="bottom"/>
            <w:hideMark/>
          </w:tcPr>
          <w:p w14:paraId="4F750258" w14:textId="77777777" w:rsidR="00ED0E0F" w:rsidRPr="00ED0E0F" w:rsidRDefault="00ED0E0F" w:rsidP="00F16F2C">
            <w:pPr>
              <w:jc w:val="right"/>
              <w:rPr>
                <w:rFonts w:eastAsia="Times New Roman"/>
                <w:color w:val="222222"/>
                <w:sz w:val="22"/>
                <w:szCs w:val="22"/>
              </w:rPr>
            </w:pPr>
          </w:p>
          <w:p w14:paraId="56E7C00F" w14:textId="77777777" w:rsidR="00ED0E0F" w:rsidRPr="00ED0E0F" w:rsidRDefault="00ED0E0F" w:rsidP="00F16F2C">
            <w:pPr>
              <w:jc w:val="right"/>
              <w:rPr>
                <w:rFonts w:eastAsia="Times New Roman"/>
                <w:color w:val="222222"/>
                <w:sz w:val="22"/>
                <w:szCs w:val="22"/>
              </w:rPr>
            </w:pPr>
          </w:p>
          <w:p w14:paraId="13BFF457" w14:textId="77777777" w:rsidR="00ED0E0F" w:rsidRPr="00ED0E0F" w:rsidRDefault="00ED0E0F" w:rsidP="00F16F2C">
            <w:pPr>
              <w:jc w:val="right"/>
              <w:rPr>
                <w:rFonts w:eastAsia="Times New Roman"/>
                <w:color w:val="222222"/>
                <w:sz w:val="22"/>
                <w:szCs w:val="22"/>
              </w:rPr>
            </w:pPr>
          </w:p>
          <w:p w14:paraId="460D6EDE" w14:textId="77777777" w:rsidR="00ED0E0F" w:rsidRPr="00ED0E0F" w:rsidRDefault="00ED0E0F" w:rsidP="00F16F2C">
            <w:pPr>
              <w:rPr>
                <w:rFonts w:eastAsia="Times New Roman"/>
                <w:color w:val="222222"/>
                <w:sz w:val="22"/>
                <w:szCs w:val="22"/>
              </w:rPr>
            </w:pPr>
          </w:p>
          <w:p w14:paraId="258FC15E" w14:textId="77777777" w:rsidR="00ED0E0F" w:rsidRPr="00ED0E0F" w:rsidRDefault="00ED0E0F" w:rsidP="00F16F2C">
            <w:pPr>
              <w:jc w:val="center"/>
              <w:rPr>
                <w:rFonts w:eastAsia="Times New Roman"/>
                <w:color w:val="222222"/>
                <w:sz w:val="22"/>
                <w:szCs w:val="22"/>
              </w:rPr>
            </w:pPr>
          </w:p>
          <w:p w14:paraId="16FA0593" w14:textId="77777777" w:rsidR="00ED0E0F" w:rsidRPr="00ED0E0F" w:rsidRDefault="00ED0E0F" w:rsidP="00F16F2C">
            <w:pPr>
              <w:jc w:val="center"/>
              <w:rPr>
                <w:rFonts w:eastAsia="Times New Roman"/>
                <w:color w:val="222222"/>
                <w:sz w:val="22"/>
                <w:szCs w:val="22"/>
              </w:rPr>
            </w:pPr>
          </w:p>
          <w:p w14:paraId="10B48463" w14:textId="77777777" w:rsidR="00ED0E0F" w:rsidRPr="00ED0E0F" w:rsidRDefault="00ED0E0F" w:rsidP="00F16F2C">
            <w:pPr>
              <w:jc w:val="center"/>
              <w:rPr>
                <w:rFonts w:eastAsia="Times New Roman"/>
                <w:color w:val="222222"/>
                <w:sz w:val="22"/>
                <w:szCs w:val="22"/>
              </w:rPr>
            </w:pPr>
          </w:p>
          <w:p w14:paraId="78479557" w14:textId="77777777" w:rsidR="00ED0E0F" w:rsidRPr="00ED0E0F" w:rsidRDefault="00ED0E0F" w:rsidP="00F16F2C">
            <w:pPr>
              <w:jc w:val="center"/>
              <w:rPr>
                <w:rFonts w:eastAsia="Times New Roman"/>
                <w:color w:val="222222"/>
                <w:sz w:val="22"/>
                <w:szCs w:val="22"/>
              </w:rPr>
            </w:pPr>
          </w:p>
          <w:p w14:paraId="6D392077" w14:textId="77777777" w:rsidR="00ED0E0F" w:rsidRPr="00ED0E0F" w:rsidRDefault="00ED0E0F" w:rsidP="00F16F2C">
            <w:pPr>
              <w:jc w:val="center"/>
              <w:rPr>
                <w:rFonts w:eastAsia="Times New Roman"/>
                <w:color w:val="222222"/>
                <w:sz w:val="22"/>
                <w:szCs w:val="22"/>
              </w:rPr>
            </w:pPr>
          </w:p>
          <w:p w14:paraId="439F6ACB" w14:textId="77777777" w:rsidR="00ED0E0F" w:rsidRPr="00ED0E0F" w:rsidRDefault="00ED0E0F" w:rsidP="00F16F2C">
            <w:pPr>
              <w:jc w:val="center"/>
              <w:rPr>
                <w:rFonts w:eastAsia="Times New Roman"/>
                <w:color w:val="222222"/>
                <w:sz w:val="22"/>
                <w:szCs w:val="22"/>
              </w:rPr>
            </w:pPr>
          </w:p>
          <w:p w14:paraId="55D0C76F" w14:textId="77777777" w:rsidR="00ED0E0F" w:rsidRPr="00ED0E0F" w:rsidRDefault="00ED0E0F" w:rsidP="00F16F2C">
            <w:pPr>
              <w:jc w:val="center"/>
              <w:rPr>
                <w:rFonts w:eastAsia="Times New Roman"/>
                <w:color w:val="222222"/>
                <w:sz w:val="22"/>
                <w:szCs w:val="22"/>
              </w:rPr>
            </w:pPr>
          </w:p>
          <w:p w14:paraId="457FD76C" w14:textId="77777777" w:rsidR="00ED0E0F" w:rsidRPr="00ED0E0F" w:rsidRDefault="00ED0E0F" w:rsidP="00F16F2C">
            <w:pPr>
              <w:jc w:val="center"/>
              <w:rPr>
                <w:rFonts w:eastAsia="Times New Roman"/>
                <w:color w:val="222222"/>
                <w:sz w:val="22"/>
                <w:szCs w:val="22"/>
              </w:rPr>
            </w:pPr>
          </w:p>
          <w:p w14:paraId="54782BDD" w14:textId="77777777" w:rsidR="00ED0E0F" w:rsidRPr="00ED0E0F" w:rsidRDefault="00ED0E0F" w:rsidP="00F16F2C">
            <w:pPr>
              <w:jc w:val="center"/>
              <w:rPr>
                <w:rFonts w:eastAsia="Times New Roman"/>
                <w:color w:val="222222"/>
                <w:sz w:val="22"/>
                <w:szCs w:val="22"/>
              </w:rPr>
            </w:pPr>
          </w:p>
          <w:p w14:paraId="2137B120" w14:textId="77777777" w:rsidR="00ED0E0F" w:rsidRPr="00ED0E0F" w:rsidRDefault="00ED0E0F" w:rsidP="00F16F2C">
            <w:pPr>
              <w:jc w:val="center"/>
              <w:rPr>
                <w:rFonts w:eastAsia="Times New Roman"/>
                <w:color w:val="222222"/>
                <w:sz w:val="22"/>
                <w:szCs w:val="22"/>
              </w:rPr>
            </w:pPr>
          </w:p>
          <w:p w14:paraId="7092EB6B" w14:textId="77777777" w:rsidR="00ED0E0F" w:rsidRPr="00ED0E0F" w:rsidRDefault="00ED0E0F" w:rsidP="00F16F2C">
            <w:pPr>
              <w:jc w:val="center"/>
              <w:rPr>
                <w:rFonts w:eastAsia="Times New Roman"/>
                <w:color w:val="222222"/>
                <w:sz w:val="22"/>
                <w:szCs w:val="22"/>
              </w:rPr>
            </w:pPr>
          </w:p>
          <w:p w14:paraId="0C631C82" w14:textId="77777777" w:rsidR="00ED0E0F" w:rsidRPr="00ED0E0F" w:rsidRDefault="00ED0E0F" w:rsidP="00F16F2C">
            <w:pPr>
              <w:jc w:val="center"/>
              <w:rPr>
                <w:rFonts w:eastAsia="Times New Roman"/>
                <w:color w:val="222222"/>
                <w:sz w:val="22"/>
                <w:szCs w:val="22"/>
                <w:u w:val="single"/>
              </w:rPr>
            </w:pPr>
            <w:r w:rsidRPr="00ED0E0F">
              <w:rPr>
                <w:rFonts w:eastAsia="Times New Roman"/>
                <w:color w:val="222222"/>
                <w:sz w:val="22"/>
                <w:szCs w:val="22"/>
                <w:u w:val="single"/>
              </w:rPr>
              <w:t>2000</w:t>
            </w:r>
          </w:p>
        </w:tc>
        <w:tc>
          <w:tcPr>
            <w:tcW w:w="2214" w:type="dxa"/>
            <w:tcBorders>
              <w:top w:val="nil"/>
              <w:left w:val="nil"/>
              <w:bottom w:val="nil"/>
              <w:right w:val="nil"/>
            </w:tcBorders>
            <w:shd w:val="clear" w:color="auto" w:fill="auto"/>
            <w:noWrap/>
            <w:vAlign w:val="bottom"/>
            <w:hideMark/>
          </w:tcPr>
          <w:p w14:paraId="5149633E" w14:textId="77777777" w:rsidR="00ED0E0F" w:rsidRPr="00ED0E0F" w:rsidRDefault="00ED0E0F" w:rsidP="00F16F2C">
            <w:pPr>
              <w:jc w:val="right"/>
              <w:rPr>
                <w:rFonts w:eastAsia="Times New Roman"/>
                <w:color w:val="222222"/>
                <w:sz w:val="22"/>
                <w:szCs w:val="22"/>
              </w:rPr>
            </w:pPr>
          </w:p>
          <w:p w14:paraId="07712E53" w14:textId="77777777" w:rsidR="00ED0E0F" w:rsidRPr="00ED0E0F" w:rsidRDefault="00ED0E0F" w:rsidP="00F16F2C">
            <w:pPr>
              <w:jc w:val="center"/>
              <w:rPr>
                <w:rFonts w:eastAsia="Times New Roman"/>
                <w:b/>
                <w:color w:val="222222"/>
                <w:sz w:val="22"/>
                <w:szCs w:val="22"/>
              </w:rPr>
            </w:pPr>
          </w:p>
          <w:p w14:paraId="1C0ACFBD" w14:textId="77777777" w:rsidR="00ED0E0F" w:rsidRPr="00ED0E0F" w:rsidRDefault="00ED0E0F" w:rsidP="00F16F2C">
            <w:pPr>
              <w:jc w:val="center"/>
              <w:rPr>
                <w:rFonts w:eastAsia="Times New Roman"/>
                <w:b/>
                <w:color w:val="222222"/>
                <w:sz w:val="22"/>
                <w:szCs w:val="22"/>
              </w:rPr>
            </w:pPr>
          </w:p>
          <w:p w14:paraId="64B63A7E" w14:textId="77777777" w:rsidR="00ED0E0F" w:rsidRPr="00ED0E0F" w:rsidRDefault="00ED0E0F" w:rsidP="00F16F2C">
            <w:pPr>
              <w:jc w:val="center"/>
              <w:rPr>
                <w:rFonts w:eastAsia="Times New Roman"/>
                <w:b/>
                <w:color w:val="222222"/>
                <w:sz w:val="22"/>
                <w:szCs w:val="22"/>
              </w:rPr>
            </w:pPr>
          </w:p>
          <w:p w14:paraId="3DEEDB2D" w14:textId="77777777" w:rsidR="00ED0E0F" w:rsidRPr="00ED0E0F" w:rsidRDefault="00ED0E0F" w:rsidP="00F16F2C">
            <w:pPr>
              <w:jc w:val="center"/>
              <w:rPr>
                <w:rFonts w:eastAsia="Times New Roman"/>
                <w:b/>
                <w:color w:val="222222"/>
                <w:sz w:val="22"/>
                <w:szCs w:val="22"/>
              </w:rPr>
            </w:pPr>
          </w:p>
          <w:p w14:paraId="0F5B1A4D" w14:textId="77777777" w:rsidR="00ED0E0F" w:rsidRPr="00ED0E0F" w:rsidRDefault="00ED0E0F" w:rsidP="00F16F2C">
            <w:pPr>
              <w:jc w:val="center"/>
              <w:rPr>
                <w:rFonts w:eastAsia="Times New Roman"/>
                <w:b/>
                <w:color w:val="222222"/>
                <w:sz w:val="22"/>
                <w:szCs w:val="22"/>
              </w:rPr>
            </w:pPr>
          </w:p>
          <w:p w14:paraId="350CC45B" w14:textId="77777777" w:rsidR="00ED0E0F" w:rsidRPr="00ED0E0F" w:rsidRDefault="00ED0E0F" w:rsidP="00F16F2C">
            <w:pPr>
              <w:jc w:val="center"/>
              <w:rPr>
                <w:rFonts w:eastAsia="Times New Roman"/>
                <w:b/>
                <w:color w:val="222222"/>
                <w:sz w:val="22"/>
                <w:szCs w:val="22"/>
              </w:rPr>
            </w:pPr>
          </w:p>
          <w:p w14:paraId="45D59C5E" w14:textId="77777777" w:rsidR="00ED0E0F" w:rsidRPr="00ED0E0F" w:rsidRDefault="00ED0E0F" w:rsidP="00F16F2C">
            <w:pPr>
              <w:jc w:val="center"/>
              <w:rPr>
                <w:rFonts w:eastAsia="Times New Roman"/>
                <w:b/>
                <w:color w:val="222222"/>
                <w:sz w:val="22"/>
                <w:szCs w:val="22"/>
              </w:rPr>
            </w:pPr>
          </w:p>
          <w:p w14:paraId="2EDC9CAA" w14:textId="77777777" w:rsidR="00ED0E0F" w:rsidRPr="00ED0E0F" w:rsidRDefault="00ED0E0F" w:rsidP="00F16F2C">
            <w:pPr>
              <w:jc w:val="center"/>
              <w:rPr>
                <w:rFonts w:eastAsia="Times New Roman"/>
                <w:b/>
                <w:color w:val="222222"/>
                <w:sz w:val="22"/>
                <w:szCs w:val="22"/>
              </w:rPr>
            </w:pPr>
          </w:p>
          <w:p w14:paraId="6072E96B" w14:textId="77777777" w:rsidR="00ED0E0F" w:rsidRPr="00ED0E0F" w:rsidRDefault="00ED0E0F" w:rsidP="00F16F2C">
            <w:pPr>
              <w:jc w:val="center"/>
              <w:rPr>
                <w:rFonts w:eastAsia="Times New Roman"/>
                <w:b/>
                <w:color w:val="222222"/>
                <w:sz w:val="22"/>
                <w:szCs w:val="22"/>
              </w:rPr>
            </w:pPr>
          </w:p>
          <w:p w14:paraId="33718889" w14:textId="77777777" w:rsidR="00ED0E0F" w:rsidRPr="00ED0E0F" w:rsidRDefault="00ED0E0F" w:rsidP="00F16F2C">
            <w:pPr>
              <w:jc w:val="center"/>
              <w:rPr>
                <w:rFonts w:eastAsia="Times New Roman"/>
                <w:b/>
                <w:color w:val="222222"/>
                <w:sz w:val="22"/>
                <w:szCs w:val="22"/>
              </w:rPr>
            </w:pPr>
          </w:p>
          <w:p w14:paraId="65D0583B" w14:textId="77777777" w:rsidR="00ED0E0F" w:rsidRPr="00ED0E0F" w:rsidRDefault="00ED0E0F" w:rsidP="00F16F2C">
            <w:pPr>
              <w:jc w:val="center"/>
              <w:rPr>
                <w:rFonts w:eastAsia="Times New Roman"/>
                <w:b/>
                <w:color w:val="222222"/>
                <w:sz w:val="22"/>
                <w:szCs w:val="22"/>
              </w:rPr>
            </w:pPr>
            <w:r w:rsidRPr="00ED0E0F">
              <w:rPr>
                <w:rFonts w:eastAsia="Times New Roman"/>
                <w:b/>
                <w:color w:val="222222"/>
                <w:sz w:val="22"/>
                <w:szCs w:val="22"/>
              </w:rPr>
              <w:t>Table 26</w:t>
            </w:r>
          </w:p>
          <w:p w14:paraId="04D5AFB8" w14:textId="77777777" w:rsidR="00ED0E0F" w:rsidRPr="00ED0E0F" w:rsidRDefault="00ED0E0F" w:rsidP="00F16F2C">
            <w:pPr>
              <w:jc w:val="center"/>
              <w:rPr>
                <w:rFonts w:eastAsia="Times New Roman"/>
                <w:b/>
                <w:color w:val="222222"/>
                <w:sz w:val="22"/>
                <w:szCs w:val="22"/>
              </w:rPr>
            </w:pPr>
            <w:r w:rsidRPr="00ED0E0F">
              <w:rPr>
                <w:rFonts w:eastAsia="Times New Roman"/>
                <w:b/>
                <w:color w:val="222222"/>
                <w:sz w:val="22"/>
                <w:szCs w:val="22"/>
              </w:rPr>
              <w:t>Poverty</w:t>
            </w:r>
          </w:p>
          <w:p w14:paraId="14C2E8FC" w14:textId="77777777" w:rsidR="00ED0E0F" w:rsidRPr="00ED0E0F" w:rsidRDefault="00ED0E0F" w:rsidP="00F16F2C">
            <w:pPr>
              <w:jc w:val="center"/>
              <w:rPr>
                <w:rFonts w:eastAsia="Times New Roman"/>
                <w:b/>
                <w:color w:val="222222"/>
                <w:sz w:val="22"/>
                <w:szCs w:val="22"/>
              </w:rPr>
            </w:pPr>
            <w:r w:rsidRPr="00ED0E0F">
              <w:rPr>
                <w:rFonts w:eastAsia="Times New Roman"/>
                <w:b/>
                <w:color w:val="222222"/>
                <w:sz w:val="22"/>
                <w:szCs w:val="22"/>
              </w:rPr>
              <w:t>Stevens County</w:t>
            </w:r>
          </w:p>
          <w:p w14:paraId="48431D51" w14:textId="77777777" w:rsidR="00ED0E0F" w:rsidRPr="00ED0E0F" w:rsidRDefault="00ED0E0F" w:rsidP="00F16F2C">
            <w:pPr>
              <w:jc w:val="center"/>
              <w:rPr>
                <w:rFonts w:eastAsia="Times New Roman"/>
                <w:color w:val="000000"/>
              </w:rPr>
            </w:pPr>
          </w:p>
          <w:p w14:paraId="1470B56F" w14:textId="77777777" w:rsidR="00ED0E0F" w:rsidRPr="00ED0E0F" w:rsidRDefault="00ED0E0F" w:rsidP="00F16F2C">
            <w:pPr>
              <w:jc w:val="center"/>
              <w:rPr>
                <w:rFonts w:eastAsia="Times New Roman"/>
                <w:color w:val="000000"/>
                <w:u w:val="single"/>
              </w:rPr>
            </w:pPr>
            <w:r w:rsidRPr="00ED0E0F">
              <w:rPr>
                <w:rFonts w:eastAsia="Times New Roman"/>
                <w:color w:val="000000"/>
                <w:u w:val="single"/>
              </w:rPr>
              <w:t>2010</w:t>
            </w:r>
          </w:p>
        </w:tc>
        <w:tc>
          <w:tcPr>
            <w:tcW w:w="2260" w:type="dxa"/>
            <w:gridSpan w:val="2"/>
            <w:tcBorders>
              <w:top w:val="nil"/>
              <w:left w:val="nil"/>
              <w:bottom w:val="nil"/>
              <w:right w:val="nil"/>
            </w:tcBorders>
            <w:shd w:val="clear" w:color="auto" w:fill="auto"/>
            <w:noWrap/>
            <w:vAlign w:val="bottom"/>
            <w:hideMark/>
          </w:tcPr>
          <w:p w14:paraId="4F5E5D0F" w14:textId="77777777" w:rsidR="00ED0E0F" w:rsidRPr="00ED0E0F" w:rsidRDefault="00ED0E0F" w:rsidP="00F16F2C">
            <w:pPr>
              <w:jc w:val="center"/>
              <w:rPr>
                <w:rFonts w:eastAsia="Times New Roman"/>
                <w:color w:val="000000"/>
              </w:rPr>
            </w:pPr>
          </w:p>
          <w:p w14:paraId="7224E595" w14:textId="77777777" w:rsidR="00ED0E0F" w:rsidRPr="00ED0E0F" w:rsidRDefault="00ED0E0F" w:rsidP="00F16F2C">
            <w:pPr>
              <w:jc w:val="center"/>
              <w:rPr>
                <w:rFonts w:eastAsia="Times New Roman"/>
                <w:color w:val="000000"/>
              </w:rPr>
            </w:pPr>
          </w:p>
          <w:p w14:paraId="0C887CDE" w14:textId="77777777" w:rsidR="00ED0E0F" w:rsidRPr="00ED0E0F" w:rsidRDefault="00ED0E0F" w:rsidP="00F16F2C">
            <w:pPr>
              <w:jc w:val="center"/>
              <w:rPr>
                <w:rFonts w:eastAsia="Times New Roman"/>
                <w:color w:val="000000"/>
              </w:rPr>
            </w:pPr>
          </w:p>
          <w:p w14:paraId="6B2B0E50" w14:textId="77777777" w:rsidR="00ED0E0F" w:rsidRPr="00ED0E0F" w:rsidRDefault="00ED0E0F" w:rsidP="00F16F2C">
            <w:pPr>
              <w:jc w:val="center"/>
              <w:rPr>
                <w:rFonts w:eastAsia="Times New Roman"/>
                <w:color w:val="000000"/>
              </w:rPr>
            </w:pPr>
          </w:p>
          <w:p w14:paraId="6DD0FFB5" w14:textId="77777777" w:rsidR="00ED0E0F" w:rsidRPr="00ED0E0F" w:rsidRDefault="00ED0E0F" w:rsidP="00F16F2C">
            <w:pPr>
              <w:jc w:val="center"/>
              <w:rPr>
                <w:rFonts w:eastAsia="Times New Roman"/>
                <w:color w:val="000000"/>
              </w:rPr>
            </w:pPr>
          </w:p>
          <w:p w14:paraId="05EEAB48" w14:textId="77777777" w:rsidR="00ED0E0F" w:rsidRPr="00ED0E0F" w:rsidRDefault="00ED0E0F" w:rsidP="00F16F2C">
            <w:pPr>
              <w:jc w:val="center"/>
              <w:rPr>
                <w:rFonts w:eastAsia="Times New Roman"/>
                <w:color w:val="000000"/>
              </w:rPr>
            </w:pPr>
          </w:p>
          <w:p w14:paraId="302DAB9E" w14:textId="77777777" w:rsidR="00ED0E0F" w:rsidRPr="00ED0E0F" w:rsidRDefault="00ED0E0F" w:rsidP="00F16F2C">
            <w:pPr>
              <w:jc w:val="center"/>
              <w:rPr>
                <w:rFonts w:eastAsia="Times New Roman"/>
                <w:color w:val="000000"/>
              </w:rPr>
            </w:pPr>
          </w:p>
          <w:p w14:paraId="631DAAA8" w14:textId="77777777" w:rsidR="00ED0E0F" w:rsidRPr="00ED0E0F" w:rsidRDefault="00ED0E0F" w:rsidP="00F16F2C">
            <w:pPr>
              <w:jc w:val="center"/>
              <w:rPr>
                <w:rFonts w:eastAsia="Times New Roman"/>
                <w:color w:val="000000"/>
              </w:rPr>
            </w:pPr>
          </w:p>
          <w:p w14:paraId="0428DC35" w14:textId="77777777" w:rsidR="00ED0E0F" w:rsidRPr="00ED0E0F" w:rsidRDefault="00ED0E0F" w:rsidP="00F16F2C">
            <w:pPr>
              <w:jc w:val="center"/>
              <w:rPr>
                <w:rFonts w:eastAsia="Times New Roman"/>
                <w:color w:val="000000"/>
              </w:rPr>
            </w:pPr>
          </w:p>
          <w:p w14:paraId="2E948352" w14:textId="77777777" w:rsidR="00ED0E0F" w:rsidRPr="00ED0E0F" w:rsidRDefault="00ED0E0F" w:rsidP="00F16F2C">
            <w:pPr>
              <w:jc w:val="center"/>
              <w:rPr>
                <w:rFonts w:eastAsia="Times New Roman"/>
                <w:color w:val="000000"/>
              </w:rPr>
            </w:pPr>
          </w:p>
          <w:p w14:paraId="127E9EC2" w14:textId="77777777" w:rsidR="00ED0E0F" w:rsidRPr="00ED0E0F" w:rsidRDefault="00ED0E0F" w:rsidP="00F16F2C">
            <w:pPr>
              <w:jc w:val="center"/>
              <w:rPr>
                <w:rFonts w:eastAsia="Times New Roman"/>
                <w:color w:val="000000"/>
              </w:rPr>
            </w:pPr>
          </w:p>
          <w:p w14:paraId="1E9D3446" w14:textId="77777777" w:rsidR="00ED0E0F" w:rsidRPr="00ED0E0F" w:rsidRDefault="00ED0E0F" w:rsidP="00F16F2C">
            <w:pPr>
              <w:jc w:val="center"/>
              <w:rPr>
                <w:rFonts w:eastAsia="Times New Roman"/>
                <w:color w:val="000000"/>
              </w:rPr>
            </w:pPr>
          </w:p>
          <w:p w14:paraId="0FEB12F6" w14:textId="77777777" w:rsidR="00ED0E0F" w:rsidRPr="00ED0E0F" w:rsidRDefault="00ED0E0F" w:rsidP="00F16F2C">
            <w:pPr>
              <w:jc w:val="center"/>
              <w:rPr>
                <w:rFonts w:eastAsia="Times New Roman"/>
                <w:color w:val="000000"/>
              </w:rPr>
            </w:pPr>
          </w:p>
          <w:p w14:paraId="42ED2B68" w14:textId="77777777" w:rsidR="00ED0E0F" w:rsidRPr="00ED0E0F" w:rsidRDefault="00ED0E0F" w:rsidP="00F16F2C">
            <w:pPr>
              <w:jc w:val="center"/>
              <w:rPr>
                <w:rFonts w:eastAsia="Times New Roman"/>
                <w:color w:val="000000"/>
                <w:u w:val="single"/>
              </w:rPr>
            </w:pPr>
            <w:r w:rsidRPr="00ED0E0F">
              <w:rPr>
                <w:rFonts w:eastAsia="Times New Roman"/>
                <w:color w:val="000000"/>
                <w:u w:val="single"/>
              </w:rPr>
              <w:t>2010 MN</w:t>
            </w:r>
          </w:p>
        </w:tc>
      </w:tr>
      <w:tr w:rsidR="00ED0E0F" w:rsidRPr="00ED0E0F" w14:paraId="434C3CBE" w14:textId="77777777" w:rsidTr="00F16F2C">
        <w:trPr>
          <w:trHeight w:val="323"/>
        </w:trPr>
        <w:tc>
          <w:tcPr>
            <w:tcW w:w="2531" w:type="dxa"/>
            <w:tcBorders>
              <w:top w:val="nil"/>
              <w:left w:val="nil"/>
              <w:bottom w:val="nil"/>
              <w:right w:val="nil"/>
            </w:tcBorders>
            <w:shd w:val="clear" w:color="auto" w:fill="auto"/>
            <w:noWrap/>
            <w:vAlign w:val="bottom"/>
            <w:hideMark/>
          </w:tcPr>
          <w:p w14:paraId="65678CC3" w14:textId="77777777" w:rsidR="00ED0E0F" w:rsidRPr="00ED0E0F" w:rsidRDefault="00ED0E0F" w:rsidP="00F16F2C">
            <w:pPr>
              <w:rPr>
                <w:rFonts w:eastAsia="Times New Roman"/>
                <w:color w:val="000000"/>
              </w:rPr>
            </w:pPr>
            <w:r w:rsidRPr="00ED0E0F">
              <w:rPr>
                <w:rFonts w:eastAsia="Times New Roman"/>
                <w:color w:val="000000"/>
              </w:rPr>
              <w:t>All People</w:t>
            </w:r>
          </w:p>
        </w:tc>
        <w:tc>
          <w:tcPr>
            <w:tcW w:w="1475" w:type="dxa"/>
            <w:tcBorders>
              <w:top w:val="nil"/>
              <w:left w:val="nil"/>
              <w:bottom w:val="nil"/>
              <w:right w:val="nil"/>
            </w:tcBorders>
            <w:shd w:val="clear" w:color="auto" w:fill="auto"/>
            <w:noWrap/>
            <w:vAlign w:val="bottom"/>
            <w:hideMark/>
          </w:tcPr>
          <w:p w14:paraId="508FFD5D" w14:textId="77777777" w:rsidR="00ED0E0F" w:rsidRPr="00ED0E0F" w:rsidRDefault="00ED0E0F" w:rsidP="00F16F2C">
            <w:pPr>
              <w:jc w:val="center"/>
              <w:rPr>
                <w:rFonts w:eastAsia="Times New Roman"/>
                <w:color w:val="222222"/>
                <w:sz w:val="22"/>
                <w:szCs w:val="22"/>
              </w:rPr>
            </w:pPr>
            <w:r w:rsidRPr="00ED0E0F">
              <w:rPr>
                <w:rFonts w:eastAsia="Times New Roman"/>
                <w:color w:val="222222"/>
                <w:sz w:val="22"/>
                <w:szCs w:val="22"/>
              </w:rPr>
              <w:t>13.6%</w:t>
            </w:r>
          </w:p>
        </w:tc>
        <w:tc>
          <w:tcPr>
            <w:tcW w:w="2214" w:type="dxa"/>
            <w:tcBorders>
              <w:top w:val="nil"/>
              <w:left w:val="nil"/>
              <w:bottom w:val="nil"/>
              <w:right w:val="nil"/>
            </w:tcBorders>
            <w:shd w:val="clear" w:color="auto" w:fill="auto"/>
            <w:noWrap/>
            <w:vAlign w:val="bottom"/>
            <w:hideMark/>
          </w:tcPr>
          <w:p w14:paraId="3EF7C189" w14:textId="77777777" w:rsidR="00ED0E0F" w:rsidRPr="00ED0E0F" w:rsidRDefault="00ED0E0F" w:rsidP="00F16F2C">
            <w:pPr>
              <w:jc w:val="center"/>
              <w:rPr>
                <w:rFonts w:eastAsia="Times New Roman"/>
                <w:color w:val="000000"/>
              </w:rPr>
            </w:pPr>
            <w:r w:rsidRPr="00ED0E0F">
              <w:rPr>
                <w:rFonts w:eastAsia="Times New Roman"/>
                <w:color w:val="000000"/>
              </w:rPr>
              <w:t>14.3%</w:t>
            </w:r>
          </w:p>
        </w:tc>
        <w:tc>
          <w:tcPr>
            <w:tcW w:w="2260" w:type="dxa"/>
            <w:gridSpan w:val="2"/>
            <w:tcBorders>
              <w:top w:val="nil"/>
              <w:left w:val="nil"/>
              <w:bottom w:val="nil"/>
              <w:right w:val="nil"/>
            </w:tcBorders>
            <w:shd w:val="clear" w:color="auto" w:fill="auto"/>
            <w:noWrap/>
            <w:vAlign w:val="bottom"/>
            <w:hideMark/>
          </w:tcPr>
          <w:p w14:paraId="41C87C10" w14:textId="77777777" w:rsidR="00ED0E0F" w:rsidRPr="00ED0E0F" w:rsidRDefault="00ED0E0F" w:rsidP="00F16F2C">
            <w:pPr>
              <w:jc w:val="center"/>
              <w:rPr>
                <w:rFonts w:eastAsia="Times New Roman"/>
                <w:color w:val="000000"/>
              </w:rPr>
            </w:pPr>
            <w:r w:rsidRPr="00ED0E0F">
              <w:rPr>
                <w:rFonts w:eastAsia="Times New Roman"/>
                <w:color w:val="000000"/>
              </w:rPr>
              <w:t>10.6%</w:t>
            </w:r>
          </w:p>
        </w:tc>
      </w:tr>
      <w:tr w:rsidR="00ED0E0F" w:rsidRPr="00ED0E0F" w14:paraId="3D938019" w14:textId="77777777" w:rsidTr="00F16F2C">
        <w:trPr>
          <w:trHeight w:val="323"/>
        </w:trPr>
        <w:tc>
          <w:tcPr>
            <w:tcW w:w="2531" w:type="dxa"/>
            <w:tcBorders>
              <w:top w:val="nil"/>
              <w:left w:val="nil"/>
              <w:bottom w:val="nil"/>
              <w:right w:val="nil"/>
            </w:tcBorders>
            <w:shd w:val="clear" w:color="auto" w:fill="auto"/>
            <w:noWrap/>
            <w:vAlign w:val="bottom"/>
            <w:hideMark/>
          </w:tcPr>
          <w:p w14:paraId="5EC31113" w14:textId="77777777" w:rsidR="00ED0E0F" w:rsidRPr="00ED0E0F" w:rsidRDefault="00ED0E0F" w:rsidP="00F16F2C">
            <w:pPr>
              <w:rPr>
                <w:rFonts w:eastAsia="Times New Roman"/>
                <w:color w:val="000000"/>
              </w:rPr>
            </w:pPr>
            <w:r w:rsidRPr="00ED0E0F">
              <w:rPr>
                <w:rFonts w:eastAsia="Times New Roman"/>
                <w:color w:val="000000"/>
              </w:rPr>
              <w:t xml:space="preserve">Female Headed Families </w:t>
            </w:r>
          </w:p>
        </w:tc>
        <w:tc>
          <w:tcPr>
            <w:tcW w:w="1475" w:type="dxa"/>
            <w:tcBorders>
              <w:top w:val="nil"/>
              <w:left w:val="nil"/>
              <w:bottom w:val="nil"/>
              <w:right w:val="nil"/>
            </w:tcBorders>
            <w:shd w:val="clear" w:color="auto" w:fill="auto"/>
            <w:noWrap/>
            <w:vAlign w:val="bottom"/>
            <w:hideMark/>
          </w:tcPr>
          <w:p w14:paraId="7C72EDC0" w14:textId="77777777" w:rsidR="00ED0E0F" w:rsidRPr="00ED0E0F" w:rsidRDefault="00ED0E0F" w:rsidP="00F16F2C">
            <w:pPr>
              <w:jc w:val="center"/>
              <w:rPr>
                <w:rFonts w:eastAsia="Times New Roman"/>
                <w:color w:val="222222"/>
                <w:sz w:val="22"/>
                <w:szCs w:val="22"/>
              </w:rPr>
            </w:pPr>
            <w:r w:rsidRPr="00ED0E0F">
              <w:rPr>
                <w:rFonts w:eastAsia="Times New Roman"/>
                <w:color w:val="222222"/>
                <w:sz w:val="22"/>
                <w:szCs w:val="22"/>
              </w:rPr>
              <w:t>26.9%</w:t>
            </w:r>
          </w:p>
        </w:tc>
        <w:tc>
          <w:tcPr>
            <w:tcW w:w="2214" w:type="dxa"/>
            <w:tcBorders>
              <w:top w:val="nil"/>
              <w:left w:val="nil"/>
              <w:bottom w:val="nil"/>
              <w:right w:val="nil"/>
            </w:tcBorders>
            <w:shd w:val="clear" w:color="auto" w:fill="auto"/>
            <w:noWrap/>
            <w:vAlign w:val="bottom"/>
            <w:hideMark/>
          </w:tcPr>
          <w:p w14:paraId="6017D582" w14:textId="77777777" w:rsidR="00ED0E0F" w:rsidRPr="00ED0E0F" w:rsidRDefault="00ED0E0F" w:rsidP="00F16F2C">
            <w:pPr>
              <w:jc w:val="center"/>
              <w:rPr>
                <w:rFonts w:eastAsia="Times New Roman"/>
                <w:color w:val="000000"/>
              </w:rPr>
            </w:pPr>
            <w:r w:rsidRPr="00ED0E0F">
              <w:rPr>
                <w:rFonts w:eastAsia="Times New Roman"/>
                <w:color w:val="000000"/>
              </w:rPr>
              <w:t>37.9%</w:t>
            </w:r>
          </w:p>
        </w:tc>
        <w:tc>
          <w:tcPr>
            <w:tcW w:w="2260" w:type="dxa"/>
            <w:gridSpan w:val="2"/>
            <w:tcBorders>
              <w:top w:val="nil"/>
              <w:left w:val="nil"/>
              <w:bottom w:val="nil"/>
              <w:right w:val="nil"/>
            </w:tcBorders>
            <w:shd w:val="clear" w:color="auto" w:fill="auto"/>
            <w:noWrap/>
            <w:vAlign w:val="bottom"/>
            <w:hideMark/>
          </w:tcPr>
          <w:p w14:paraId="0D66D8B0" w14:textId="77777777" w:rsidR="00ED0E0F" w:rsidRPr="00ED0E0F" w:rsidRDefault="00ED0E0F" w:rsidP="00F16F2C">
            <w:pPr>
              <w:jc w:val="center"/>
              <w:rPr>
                <w:rFonts w:eastAsia="Times New Roman"/>
                <w:color w:val="000000"/>
              </w:rPr>
            </w:pPr>
            <w:r w:rsidRPr="00ED0E0F">
              <w:rPr>
                <w:rFonts w:eastAsia="Times New Roman"/>
                <w:color w:val="000000"/>
              </w:rPr>
              <w:t>26.2%</w:t>
            </w:r>
          </w:p>
        </w:tc>
      </w:tr>
      <w:tr w:rsidR="00ED0E0F" w:rsidRPr="00ED0E0F" w14:paraId="31106744" w14:textId="77777777" w:rsidTr="00F16F2C">
        <w:trPr>
          <w:trHeight w:val="323"/>
        </w:trPr>
        <w:tc>
          <w:tcPr>
            <w:tcW w:w="2531" w:type="dxa"/>
            <w:tcBorders>
              <w:top w:val="nil"/>
              <w:left w:val="nil"/>
              <w:bottom w:val="nil"/>
              <w:right w:val="nil"/>
            </w:tcBorders>
            <w:shd w:val="clear" w:color="auto" w:fill="auto"/>
            <w:noWrap/>
            <w:vAlign w:val="bottom"/>
            <w:hideMark/>
          </w:tcPr>
          <w:p w14:paraId="5EA626B5" w14:textId="77777777" w:rsidR="00ED0E0F" w:rsidRPr="00ED0E0F" w:rsidRDefault="00ED0E0F" w:rsidP="00F16F2C">
            <w:pPr>
              <w:rPr>
                <w:rFonts w:eastAsia="Times New Roman"/>
                <w:color w:val="000000"/>
              </w:rPr>
            </w:pPr>
            <w:r w:rsidRPr="00ED0E0F">
              <w:rPr>
                <w:rFonts w:eastAsia="Times New Roman"/>
                <w:color w:val="000000"/>
              </w:rPr>
              <w:t>Children In Families</w:t>
            </w:r>
          </w:p>
        </w:tc>
        <w:tc>
          <w:tcPr>
            <w:tcW w:w="1475" w:type="dxa"/>
            <w:tcBorders>
              <w:top w:val="nil"/>
              <w:left w:val="nil"/>
              <w:bottom w:val="nil"/>
              <w:right w:val="nil"/>
            </w:tcBorders>
            <w:shd w:val="clear" w:color="auto" w:fill="auto"/>
            <w:noWrap/>
            <w:vAlign w:val="bottom"/>
            <w:hideMark/>
          </w:tcPr>
          <w:p w14:paraId="2727CF9D" w14:textId="77777777" w:rsidR="00ED0E0F" w:rsidRPr="00ED0E0F" w:rsidRDefault="00ED0E0F" w:rsidP="00F16F2C">
            <w:pPr>
              <w:jc w:val="center"/>
              <w:rPr>
                <w:rFonts w:eastAsia="Times New Roman"/>
                <w:color w:val="222222"/>
                <w:sz w:val="22"/>
                <w:szCs w:val="22"/>
              </w:rPr>
            </w:pPr>
            <w:r w:rsidRPr="00ED0E0F">
              <w:rPr>
                <w:rFonts w:eastAsia="Times New Roman"/>
                <w:color w:val="222222"/>
                <w:sz w:val="22"/>
                <w:szCs w:val="22"/>
              </w:rPr>
              <w:t>7.2%</w:t>
            </w:r>
          </w:p>
        </w:tc>
        <w:tc>
          <w:tcPr>
            <w:tcW w:w="2214" w:type="dxa"/>
            <w:tcBorders>
              <w:top w:val="nil"/>
              <w:left w:val="nil"/>
              <w:bottom w:val="nil"/>
              <w:right w:val="nil"/>
            </w:tcBorders>
            <w:shd w:val="clear" w:color="auto" w:fill="auto"/>
            <w:noWrap/>
            <w:vAlign w:val="bottom"/>
            <w:hideMark/>
          </w:tcPr>
          <w:p w14:paraId="3D54760E" w14:textId="77777777" w:rsidR="00ED0E0F" w:rsidRPr="00ED0E0F" w:rsidRDefault="00ED0E0F" w:rsidP="00F16F2C">
            <w:pPr>
              <w:jc w:val="center"/>
              <w:rPr>
                <w:rFonts w:eastAsia="Times New Roman"/>
                <w:color w:val="000000"/>
              </w:rPr>
            </w:pPr>
            <w:r w:rsidRPr="00ED0E0F">
              <w:rPr>
                <w:rFonts w:eastAsia="Times New Roman"/>
                <w:color w:val="000000"/>
              </w:rPr>
              <w:t>9.4%</w:t>
            </w:r>
          </w:p>
        </w:tc>
        <w:tc>
          <w:tcPr>
            <w:tcW w:w="2260" w:type="dxa"/>
            <w:gridSpan w:val="2"/>
            <w:tcBorders>
              <w:top w:val="nil"/>
              <w:left w:val="nil"/>
              <w:bottom w:val="nil"/>
              <w:right w:val="nil"/>
            </w:tcBorders>
            <w:shd w:val="clear" w:color="auto" w:fill="auto"/>
            <w:noWrap/>
            <w:vAlign w:val="bottom"/>
            <w:hideMark/>
          </w:tcPr>
          <w:p w14:paraId="6C41BD84" w14:textId="77777777" w:rsidR="00ED0E0F" w:rsidRPr="00ED0E0F" w:rsidRDefault="00ED0E0F" w:rsidP="00F16F2C">
            <w:pPr>
              <w:jc w:val="center"/>
              <w:rPr>
                <w:rFonts w:eastAsia="Times New Roman"/>
                <w:color w:val="000000"/>
              </w:rPr>
            </w:pPr>
            <w:r w:rsidRPr="00ED0E0F">
              <w:rPr>
                <w:rFonts w:eastAsia="Times New Roman"/>
                <w:color w:val="000000"/>
              </w:rPr>
              <w:t>11.1%</w:t>
            </w:r>
          </w:p>
        </w:tc>
      </w:tr>
      <w:tr w:rsidR="00ED0E0F" w:rsidRPr="00ED0E0F" w14:paraId="1FC46EC2" w14:textId="77777777" w:rsidTr="00F16F2C">
        <w:trPr>
          <w:trHeight w:val="323"/>
        </w:trPr>
        <w:tc>
          <w:tcPr>
            <w:tcW w:w="2531" w:type="dxa"/>
            <w:tcBorders>
              <w:top w:val="nil"/>
              <w:left w:val="nil"/>
              <w:bottom w:val="nil"/>
              <w:right w:val="nil"/>
            </w:tcBorders>
            <w:shd w:val="clear" w:color="auto" w:fill="auto"/>
            <w:noWrap/>
            <w:vAlign w:val="bottom"/>
            <w:hideMark/>
          </w:tcPr>
          <w:p w14:paraId="5D566E59" w14:textId="77777777" w:rsidR="00ED0E0F" w:rsidRPr="00ED0E0F" w:rsidRDefault="00ED0E0F" w:rsidP="00F16F2C">
            <w:pPr>
              <w:rPr>
                <w:rFonts w:eastAsia="Times New Roman"/>
                <w:color w:val="000000"/>
              </w:rPr>
            </w:pPr>
            <w:r w:rsidRPr="00ED0E0F">
              <w:rPr>
                <w:rFonts w:eastAsia="Times New Roman"/>
                <w:color w:val="000000"/>
              </w:rPr>
              <w:t xml:space="preserve">Persons 65+ years old </w:t>
            </w:r>
          </w:p>
        </w:tc>
        <w:tc>
          <w:tcPr>
            <w:tcW w:w="1475" w:type="dxa"/>
            <w:tcBorders>
              <w:top w:val="nil"/>
              <w:left w:val="nil"/>
              <w:bottom w:val="nil"/>
              <w:right w:val="nil"/>
            </w:tcBorders>
            <w:shd w:val="clear" w:color="auto" w:fill="auto"/>
            <w:noWrap/>
            <w:vAlign w:val="bottom"/>
            <w:hideMark/>
          </w:tcPr>
          <w:p w14:paraId="57D43395" w14:textId="77777777" w:rsidR="00ED0E0F" w:rsidRPr="00ED0E0F" w:rsidRDefault="00ED0E0F" w:rsidP="00F16F2C">
            <w:pPr>
              <w:jc w:val="center"/>
              <w:rPr>
                <w:rFonts w:eastAsia="Times New Roman"/>
                <w:color w:val="222222"/>
                <w:sz w:val="22"/>
                <w:szCs w:val="22"/>
              </w:rPr>
            </w:pPr>
            <w:r w:rsidRPr="00ED0E0F">
              <w:rPr>
                <w:rFonts w:eastAsia="Times New Roman"/>
                <w:color w:val="222222"/>
                <w:sz w:val="22"/>
                <w:szCs w:val="22"/>
              </w:rPr>
              <w:t>11.3%</w:t>
            </w:r>
          </w:p>
        </w:tc>
        <w:tc>
          <w:tcPr>
            <w:tcW w:w="2214" w:type="dxa"/>
            <w:tcBorders>
              <w:top w:val="nil"/>
              <w:left w:val="nil"/>
              <w:bottom w:val="nil"/>
              <w:right w:val="nil"/>
            </w:tcBorders>
            <w:shd w:val="clear" w:color="auto" w:fill="auto"/>
            <w:noWrap/>
            <w:vAlign w:val="bottom"/>
            <w:hideMark/>
          </w:tcPr>
          <w:p w14:paraId="02CBC083" w14:textId="77777777" w:rsidR="00ED0E0F" w:rsidRPr="00ED0E0F" w:rsidRDefault="00ED0E0F" w:rsidP="00F16F2C">
            <w:pPr>
              <w:jc w:val="center"/>
              <w:rPr>
                <w:rFonts w:eastAsia="Times New Roman"/>
                <w:color w:val="000000"/>
              </w:rPr>
            </w:pPr>
            <w:r w:rsidRPr="00ED0E0F">
              <w:rPr>
                <w:rFonts w:eastAsia="Times New Roman"/>
                <w:color w:val="000000"/>
              </w:rPr>
              <w:t>5.1%</w:t>
            </w:r>
          </w:p>
        </w:tc>
        <w:tc>
          <w:tcPr>
            <w:tcW w:w="2260" w:type="dxa"/>
            <w:gridSpan w:val="2"/>
            <w:tcBorders>
              <w:top w:val="nil"/>
              <w:left w:val="nil"/>
              <w:bottom w:val="nil"/>
              <w:right w:val="nil"/>
            </w:tcBorders>
            <w:shd w:val="clear" w:color="auto" w:fill="auto"/>
            <w:noWrap/>
            <w:vAlign w:val="bottom"/>
            <w:hideMark/>
          </w:tcPr>
          <w:p w14:paraId="5DA50BD9" w14:textId="77777777" w:rsidR="00ED0E0F" w:rsidRPr="00ED0E0F" w:rsidRDefault="00ED0E0F" w:rsidP="00F16F2C">
            <w:pPr>
              <w:jc w:val="center"/>
              <w:rPr>
                <w:rFonts w:eastAsia="Times New Roman"/>
                <w:color w:val="000000"/>
              </w:rPr>
            </w:pPr>
            <w:r w:rsidRPr="00ED0E0F">
              <w:rPr>
                <w:rFonts w:eastAsia="Times New Roman"/>
                <w:color w:val="000000"/>
              </w:rPr>
              <w:t>7.7%</w:t>
            </w:r>
          </w:p>
        </w:tc>
      </w:tr>
      <w:tr w:rsidR="00ED0E0F" w:rsidRPr="00ED0E0F" w14:paraId="3FCEDA31" w14:textId="77777777" w:rsidTr="00F16F2C">
        <w:trPr>
          <w:trHeight w:val="323"/>
        </w:trPr>
        <w:tc>
          <w:tcPr>
            <w:tcW w:w="2531" w:type="dxa"/>
            <w:tcBorders>
              <w:top w:val="nil"/>
              <w:left w:val="nil"/>
              <w:bottom w:val="nil"/>
              <w:right w:val="nil"/>
            </w:tcBorders>
            <w:shd w:val="clear" w:color="auto" w:fill="auto"/>
            <w:noWrap/>
            <w:vAlign w:val="bottom"/>
            <w:hideMark/>
          </w:tcPr>
          <w:p w14:paraId="4DD9DAAC" w14:textId="77777777" w:rsidR="00ED0E0F" w:rsidRPr="00ED0E0F" w:rsidRDefault="00ED0E0F" w:rsidP="00F16F2C">
            <w:pPr>
              <w:rPr>
                <w:rFonts w:eastAsia="Times New Roman"/>
                <w:color w:val="000000"/>
              </w:rPr>
            </w:pPr>
          </w:p>
        </w:tc>
        <w:tc>
          <w:tcPr>
            <w:tcW w:w="1475" w:type="dxa"/>
            <w:tcBorders>
              <w:top w:val="nil"/>
              <w:left w:val="nil"/>
              <w:bottom w:val="nil"/>
              <w:right w:val="nil"/>
            </w:tcBorders>
            <w:shd w:val="clear" w:color="auto" w:fill="auto"/>
            <w:noWrap/>
            <w:vAlign w:val="bottom"/>
            <w:hideMark/>
          </w:tcPr>
          <w:p w14:paraId="39A6DC4A" w14:textId="77777777" w:rsidR="00ED0E0F" w:rsidRPr="00ED0E0F" w:rsidRDefault="00ED0E0F" w:rsidP="00F16F2C">
            <w:pPr>
              <w:jc w:val="center"/>
              <w:rPr>
                <w:rFonts w:eastAsia="Times New Roman"/>
                <w:color w:val="000000"/>
              </w:rPr>
            </w:pPr>
          </w:p>
        </w:tc>
        <w:tc>
          <w:tcPr>
            <w:tcW w:w="2214" w:type="dxa"/>
            <w:tcBorders>
              <w:top w:val="nil"/>
              <w:left w:val="nil"/>
              <w:bottom w:val="nil"/>
              <w:right w:val="nil"/>
            </w:tcBorders>
            <w:shd w:val="clear" w:color="auto" w:fill="auto"/>
            <w:noWrap/>
            <w:vAlign w:val="bottom"/>
            <w:hideMark/>
          </w:tcPr>
          <w:p w14:paraId="515DDAA0" w14:textId="77777777" w:rsidR="00ED0E0F" w:rsidRPr="00ED0E0F" w:rsidRDefault="00ED0E0F" w:rsidP="00F16F2C">
            <w:pPr>
              <w:jc w:val="center"/>
              <w:rPr>
                <w:rFonts w:eastAsia="Times New Roman"/>
                <w:color w:val="000000"/>
              </w:rPr>
            </w:pPr>
          </w:p>
        </w:tc>
        <w:tc>
          <w:tcPr>
            <w:tcW w:w="2260" w:type="dxa"/>
            <w:gridSpan w:val="2"/>
            <w:tcBorders>
              <w:top w:val="nil"/>
              <w:left w:val="nil"/>
              <w:bottom w:val="nil"/>
              <w:right w:val="nil"/>
            </w:tcBorders>
            <w:shd w:val="clear" w:color="auto" w:fill="auto"/>
            <w:noWrap/>
            <w:vAlign w:val="bottom"/>
            <w:hideMark/>
          </w:tcPr>
          <w:p w14:paraId="1898FA81" w14:textId="77777777" w:rsidR="00ED0E0F" w:rsidRPr="00ED0E0F" w:rsidRDefault="00ED0E0F" w:rsidP="00F16F2C">
            <w:pPr>
              <w:jc w:val="center"/>
              <w:rPr>
                <w:rFonts w:eastAsia="Times New Roman"/>
                <w:color w:val="000000"/>
              </w:rPr>
            </w:pPr>
          </w:p>
        </w:tc>
      </w:tr>
      <w:tr w:rsidR="00ED0E0F" w:rsidRPr="00ED0E0F" w14:paraId="33CFDFA0" w14:textId="77777777" w:rsidTr="00F16F2C">
        <w:trPr>
          <w:trHeight w:val="323"/>
        </w:trPr>
        <w:tc>
          <w:tcPr>
            <w:tcW w:w="2531" w:type="dxa"/>
            <w:tcBorders>
              <w:top w:val="nil"/>
              <w:left w:val="nil"/>
              <w:bottom w:val="nil"/>
              <w:right w:val="nil"/>
            </w:tcBorders>
            <w:shd w:val="clear" w:color="auto" w:fill="auto"/>
            <w:noWrap/>
            <w:vAlign w:val="bottom"/>
            <w:hideMark/>
          </w:tcPr>
          <w:p w14:paraId="7D954D88" w14:textId="77777777" w:rsidR="00ED0E0F" w:rsidRPr="00ED0E0F" w:rsidRDefault="00ED0E0F" w:rsidP="00F16F2C">
            <w:pPr>
              <w:rPr>
                <w:rFonts w:eastAsia="Times New Roman"/>
                <w:color w:val="000000"/>
              </w:rPr>
            </w:pPr>
            <w:r w:rsidRPr="00ED0E0F">
              <w:rPr>
                <w:rFonts w:eastAsia="Times New Roman"/>
                <w:color w:val="000000"/>
              </w:rPr>
              <w:t>Median family income</w:t>
            </w:r>
          </w:p>
        </w:tc>
        <w:tc>
          <w:tcPr>
            <w:tcW w:w="1475" w:type="dxa"/>
            <w:tcBorders>
              <w:top w:val="nil"/>
              <w:left w:val="nil"/>
              <w:bottom w:val="nil"/>
              <w:right w:val="nil"/>
            </w:tcBorders>
            <w:shd w:val="clear" w:color="auto" w:fill="auto"/>
            <w:noWrap/>
            <w:vAlign w:val="bottom"/>
            <w:hideMark/>
          </w:tcPr>
          <w:p w14:paraId="63CC6266" w14:textId="77777777" w:rsidR="00ED0E0F" w:rsidRPr="00ED0E0F" w:rsidRDefault="00ED0E0F" w:rsidP="00F16F2C">
            <w:pPr>
              <w:jc w:val="center"/>
              <w:rPr>
                <w:rFonts w:eastAsia="Times New Roman"/>
                <w:color w:val="000000"/>
              </w:rPr>
            </w:pPr>
            <w:r w:rsidRPr="00ED0E0F">
              <w:rPr>
                <w:rFonts w:eastAsia="Times New Roman"/>
                <w:color w:val="000000"/>
              </w:rPr>
              <w:t>$47,518</w:t>
            </w:r>
          </w:p>
        </w:tc>
        <w:tc>
          <w:tcPr>
            <w:tcW w:w="2214" w:type="dxa"/>
            <w:tcBorders>
              <w:top w:val="nil"/>
              <w:left w:val="nil"/>
              <w:bottom w:val="nil"/>
              <w:right w:val="nil"/>
            </w:tcBorders>
            <w:shd w:val="clear" w:color="auto" w:fill="auto"/>
            <w:noWrap/>
            <w:vAlign w:val="bottom"/>
            <w:hideMark/>
          </w:tcPr>
          <w:p w14:paraId="32E7D6F8" w14:textId="77777777" w:rsidR="00ED0E0F" w:rsidRPr="00ED0E0F" w:rsidRDefault="00ED0E0F" w:rsidP="00F16F2C">
            <w:pPr>
              <w:jc w:val="center"/>
              <w:rPr>
                <w:rFonts w:eastAsia="Times New Roman"/>
                <w:color w:val="000000"/>
              </w:rPr>
            </w:pPr>
            <w:r w:rsidRPr="00ED0E0F">
              <w:rPr>
                <w:rFonts w:eastAsia="Times New Roman"/>
                <w:color w:val="000000"/>
              </w:rPr>
              <w:t>$65,283</w:t>
            </w:r>
          </w:p>
        </w:tc>
        <w:tc>
          <w:tcPr>
            <w:tcW w:w="2260" w:type="dxa"/>
            <w:gridSpan w:val="2"/>
            <w:tcBorders>
              <w:top w:val="nil"/>
              <w:left w:val="nil"/>
              <w:bottom w:val="nil"/>
              <w:right w:val="nil"/>
            </w:tcBorders>
            <w:shd w:val="clear" w:color="auto" w:fill="auto"/>
            <w:noWrap/>
            <w:vAlign w:val="bottom"/>
            <w:hideMark/>
          </w:tcPr>
          <w:p w14:paraId="032EC1DD" w14:textId="77777777" w:rsidR="00ED0E0F" w:rsidRPr="00ED0E0F" w:rsidRDefault="00ED0E0F" w:rsidP="00F16F2C">
            <w:pPr>
              <w:jc w:val="center"/>
              <w:rPr>
                <w:rFonts w:eastAsia="Times New Roman"/>
                <w:color w:val="000000"/>
              </w:rPr>
            </w:pPr>
            <w:r w:rsidRPr="00ED0E0F">
              <w:rPr>
                <w:rFonts w:eastAsia="Times New Roman"/>
                <w:color w:val="000000"/>
              </w:rPr>
              <w:t>State of MN $71,307</w:t>
            </w:r>
          </w:p>
        </w:tc>
      </w:tr>
      <w:tr w:rsidR="00ED0E0F" w:rsidRPr="00ED0E0F" w14:paraId="2793768D" w14:textId="77777777" w:rsidTr="00F16F2C">
        <w:trPr>
          <w:trHeight w:val="323"/>
        </w:trPr>
        <w:tc>
          <w:tcPr>
            <w:tcW w:w="2531" w:type="dxa"/>
            <w:tcBorders>
              <w:top w:val="nil"/>
              <w:left w:val="nil"/>
              <w:bottom w:val="nil"/>
              <w:right w:val="nil"/>
            </w:tcBorders>
            <w:shd w:val="clear" w:color="auto" w:fill="auto"/>
            <w:noWrap/>
            <w:vAlign w:val="bottom"/>
            <w:hideMark/>
          </w:tcPr>
          <w:p w14:paraId="48C2DAA3" w14:textId="77777777" w:rsidR="00ED0E0F" w:rsidRPr="00ED0E0F" w:rsidRDefault="00ED0E0F" w:rsidP="00F16F2C">
            <w:pPr>
              <w:rPr>
                <w:rFonts w:eastAsia="Times New Roman"/>
                <w:color w:val="000000"/>
              </w:rPr>
            </w:pPr>
            <w:r w:rsidRPr="00ED0E0F">
              <w:rPr>
                <w:rFonts w:eastAsia="Times New Roman"/>
                <w:color w:val="000000"/>
              </w:rPr>
              <w:t>Per capita income</w:t>
            </w:r>
          </w:p>
        </w:tc>
        <w:tc>
          <w:tcPr>
            <w:tcW w:w="1475" w:type="dxa"/>
            <w:tcBorders>
              <w:top w:val="nil"/>
              <w:left w:val="nil"/>
              <w:bottom w:val="nil"/>
              <w:right w:val="nil"/>
            </w:tcBorders>
            <w:shd w:val="clear" w:color="auto" w:fill="auto"/>
            <w:noWrap/>
            <w:vAlign w:val="bottom"/>
            <w:hideMark/>
          </w:tcPr>
          <w:p w14:paraId="764A8411" w14:textId="77777777" w:rsidR="00ED0E0F" w:rsidRPr="00ED0E0F" w:rsidRDefault="00ED0E0F" w:rsidP="00F16F2C">
            <w:pPr>
              <w:jc w:val="center"/>
              <w:rPr>
                <w:rFonts w:eastAsia="Times New Roman"/>
                <w:color w:val="000000"/>
              </w:rPr>
            </w:pPr>
            <w:r w:rsidRPr="00ED0E0F">
              <w:rPr>
                <w:rFonts w:eastAsia="Times New Roman"/>
                <w:color w:val="000000"/>
              </w:rPr>
              <w:t>$17,569</w:t>
            </w:r>
          </w:p>
        </w:tc>
        <w:tc>
          <w:tcPr>
            <w:tcW w:w="2214" w:type="dxa"/>
            <w:tcBorders>
              <w:top w:val="nil"/>
              <w:left w:val="nil"/>
              <w:bottom w:val="nil"/>
              <w:right w:val="nil"/>
            </w:tcBorders>
            <w:shd w:val="clear" w:color="auto" w:fill="auto"/>
            <w:noWrap/>
            <w:vAlign w:val="bottom"/>
            <w:hideMark/>
          </w:tcPr>
          <w:p w14:paraId="23B96CC0" w14:textId="77777777" w:rsidR="00ED0E0F" w:rsidRPr="00ED0E0F" w:rsidRDefault="00ED0E0F" w:rsidP="00F16F2C">
            <w:pPr>
              <w:jc w:val="center"/>
              <w:rPr>
                <w:rFonts w:eastAsia="Times New Roman"/>
                <w:color w:val="000000"/>
              </w:rPr>
            </w:pPr>
            <w:r w:rsidRPr="00ED0E0F">
              <w:rPr>
                <w:rFonts w:eastAsia="Times New Roman"/>
                <w:color w:val="000000"/>
              </w:rPr>
              <w:t>$24,582</w:t>
            </w:r>
          </w:p>
        </w:tc>
        <w:tc>
          <w:tcPr>
            <w:tcW w:w="2260" w:type="dxa"/>
            <w:gridSpan w:val="2"/>
            <w:tcBorders>
              <w:top w:val="nil"/>
              <w:left w:val="nil"/>
              <w:bottom w:val="nil"/>
              <w:right w:val="nil"/>
            </w:tcBorders>
            <w:shd w:val="clear" w:color="auto" w:fill="auto"/>
            <w:noWrap/>
            <w:vAlign w:val="bottom"/>
            <w:hideMark/>
          </w:tcPr>
          <w:p w14:paraId="1B8DBCDF" w14:textId="77777777" w:rsidR="00ED0E0F" w:rsidRPr="00ED0E0F" w:rsidRDefault="00ED0E0F" w:rsidP="00F16F2C">
            <w:pPr>
              <w:jc w:val="center"/>
              <w:rPr>
                <w:rFonts w:eastAsia="Times New Roman"/>
                <w:color w:val="000000"/>
              </w:rPr>
            </w:pPr>
            <w:r w:rsidRPr="00ED0E0F">
              <w:rPr>
                <w:rFonts w:eastAsia="Times New Roman"/>
                <w:color w:val="000000"/>
              </w:rPr>
              <w:t>State of MN $29,582</w:t>
            </w:r>
          </w:p>
        </w:tc>
      </w:tr>
    </w:tbl>
    <w:p w14:paraId="5F37DA42" w14:textId="77777777" w:rsidR="00ED0E0F" w:rsidRPr="00ED0E0F" w:rsidRDefault="00ED0E0F" w:rsidP="00ED0E0F">
      <w:pPr>
        <w:rPr>
          <w:b/>
        </w:rPr>
      </w:pPr>
    </w:p>
    <w:p w14:paraId="7CBD0A69" w14:textId="1F48E833" w:rsidR="00ED0E0F" w:rsidRPr="00ED0E0F" w:rsidRDefault="00ED0E0F" w:rsidP="00ED0E0F">
      <w:pPr>
        <w:rPr>
          <w:b/>
        </w:rPr>
      </w:pPr>
      <w:r w:rsidRPr="00ED0E0F">
        <w:rPr>
          <w:b/>
        </w:rPr>
        <w:t xml:space="preserve">Poverty </w:t>
      </w:r>
      <w:r w:rsidRPr="00ED0E0F">
        <w:t>Approximately 14.3% of resident</w:t>
      </w:r>
      <w:r>
        <w:t>s in Stevens County fall</w:t>
      </w:r>
      <w:r w:rsidRPr="00ED0E0F">
        <w:t xml:space="preserve"> into the federal definition of poverty. This figure is 3.7 percent above the state average. 13.6 percent of the residents within the city of Morris are living in poverty. The median family income is $47, 518 or 33.4% below state average. Per capita income is $17,569 or 40.6% below </w:t>
      </w:r>
      <w:r>
        <w:t>the state average</w:t>
      </w:r>
      <w:r w:rsidRPr="00ED0E0F">
        <w:t xml:space="preserve">. </w:t>
      </w:r>
    </w:p>
    <w:p w14:paraId="7B4568AF" w14:textId="77777777" w:rsidR="00ED0E0F" w:rsidRPr="00ED0E0F" w:rsidRDefault="00ED0E0F" w:rsidP="00ED0E0F">
      <w:pPr>
        <w:jc w:val="center"/>
        <w:rPr>
          <w:b/>
        </w:rPr>
      </w:pPr>
    </w:p>
    <w:p w14:paraId="30CDFC3C" w14:textId="77777777" w:rsidR="00ED0E0F" w:rsidRPr="00ED0E0F" w:rsidRDefault="00ED0E0F" w:rsidP="00ED0E0F">
      <w:pPr>
        <w:jc w:val="center"/>
        <w:rPr>
          <w:b/>
        </w:rPr>
      </w:pPr>
    </w:p>
    <w:p w14:paraId="69524A9C" w14:textId="77777777" w:rsidR="00ED0E0F" w:rsidRPr="00ED0E0F" w:rsidRDefault="00ED0E0F" w:rsidP="00ED0E0F">
      <w:pPr>
        <w:jc w:val="center"/>
        <w:rPr>
          <w:b/>
        </w:rPr>
      </w:pPr>
    </w:p>
    <w:p w14:paraId="15052116" w14:textId="77777777" w:rsidR="00ED0E0F" w:rsidRPr="00ED0E0F" w:rsidRDefault="00ED0E0F" w:rsidP="00ED0E0F">
      <w:pPr>
        <w:jc w:val="center"/>
        <w:rPr>
          <w:b/>
        </w:rPr>
      </w:pPr>
      <w:r w:rsidRPr="00ED0E0F">
        <w:rPr>
          <w:b/>
        </w:rPr>
        <w:t>Table 24</w:t>
      </w:r>
    </w:p>
    <w:p w14:paraId="00D2F761" w14:textId="77777777" w:rsidR="00ED0E0F" w:rsidRPr="00ED0E0F" w:rsidRDefault="00ED0E0F" w:rsidP="00ED0E0F">
      <w:pPr>
        <w:jc w:val="center"/>
        <w:rPr>
          <w:b/>
        </w:rPr>
      </w:pPr>
      <w:r w:rsidRPr="00ED0E0F">
        <w:rPr>
          <w:b/>
        </w:rPr>
        <w:t>Stevens County Total Personal Income (TPI)</w:t>
      </w:r>
    </w:p>
    <w:p w14:paraId="3868E20F" w14:textId="77777777" w:rsidR="00ED0E0F" w:rsidRPr="00ED0E0F" w:rsidRDefault="00ED0E0F" w:rsidP="00ED0E0F">
      <w:pPr>
        <w:jc w:val="center"/>
        <w:rPr>
          <w:b/>
        </w:rPr>
      </w:pPr>
      <w:r w:rsidRPr="00ED0E0F">
        <w:rPr>
          <w:b/>
        </w:rPr>
        <w:t>By Percentage Share</w:t>
      </w:r>
    </w:p>
    <w:tbl>
      <w:tblPr>
        <w:tblW w:w="6577" w:type="dxa"/>
        <w:tblInd w:w="93" w:type="dxa"/>
        <w:tblLayout w:type="fixed"/>
        <w:tblLook w:val="04A0" w:firstRow="1" w:lastRow="0" w:firstColumn="1" w:lastColumn="0" w:noHBand="0" w:noVBand="1"/>
      </w:tblPr>
      <w:tblGrid>
        <w:gridCol w:w="2260"/>
        <w:gridCol w:w="1073"/>
        <w:gridCol w:w="1027"/>
        <w:gridCol w:w="344"/>
        <w:gridCol w:w="1756"/>
        <w:gridCol w:w="117"/>
      </w:tblGrid>
      <w:tr w:rsidR="00ED0E0F" w:rsidRPr="00ED0E0F" w14:paraId="509353BB" w14:textId="77777777" w:rsidTr="00F16F2C">
        <w:trPr>
          <w:trHeight w:val="308"/>
        </w:trPr>
        <w:tc>
          <w:tcPr>
            <w:tcW w:w="3333" w:type="dxa"/>
            <w:gridSpan w:val="2"/>
            <w:tcBorders>
              <w:top w:val="nil"/>
              <w:left w:val="nil"/>
              <w:bottom w:val="nil"/>
              <w:right w:val="nil"/>
            </w:tcBorders>
            <w:shd w:val="clear" w:color="auto" w:fill="auto"/>
            <w:noWrap/>
            <w:vAlign w:val="bottom"/>
            <w:hideMark/>
          </w:tcPr>
          <w:p w14:paraId="2AB53E88" w14:textId="77777777" w:rsidR="00ED0E0F" w:rsidRPr="00ED0E0F" w:rsidRDefault="00ED0E0F" w:rsidP="00F16F2C">
            <w:pPr>
              <w:rPr>
                <w:rFonts w:eastAsia="Times New Roman"/>
                <w:color w:val="000000"/>
                <w:u w:val="single"/>
              </w:rPr>
            </w:pPr>
            <w:r w:rsidRPr="00ED0E0F">
              <w:rPr>
                <w:rFonts w:eastAsia="Times New Roman"/>
                <w:color w:val="000000"/>
                <w:u w:val="single"/>
              </w:rPr>
              <w:t>Share of TPI</w:t>
            </w:r>
          </w:p>
        </w:tc>
        <w:tc>
          <w:tcPr>
            <w:tcW w:w="1371" w:type="dxa"/>
            <w:gridSpan w:val="2"/>
            <w:tcBorders>
              <w:top w:val="nil"/>
              <w:left w:val="nil"/>
              <w:bottom w:val="nil"/>
              <w:right w:val="nil"/>
            </w:tcBorders>
            <w:shd w:val="clear" w:color="auto" w:fill="auto"/>
            <w:noWrap/>
            <w:vAlign w:val="bottom"/>
            <w:hideMark/>
          </w:tcPr>
          <w:p w14:paraId="062CA7A0" w14:textId="77777777" w:rsidR="00ED0E0F" w:rsidRPr="00ED0E0F" w:rsidRDefault="00ED0E0F" w:rsidP="00F16F2C">
            <w:pPr>
              <w:jc w:val="right"/>
              <w:rPr>
                <w:rFonts w:eastAsia="Times New Roman"/>
                <w:color w:val="000000"/>
                <w:u w:val="single"/>
              </w:rPr>
            </w:pPr>
            <w:r w:rsidRPr="00ED0E0F">
              <w:rPr>
                <w:rFonts w:eastAsia="Times New Roman"/>
                <w:color w:val="000000"/>
                <w:u w:val="single"/>
              </w:rPr>
              <w:t>2000</w:t>
            </w:r>
          </w:p>
        </w:tc>
        <w:tc>
          <w:tcPr>
            <w:tcW w:w="1873" w:type="dxa"/>
            <w:gridSpan w:val="2"/>
            <w:tcBorders>
              <w:top w:val="nil"/>
              <w:left w:val="nil"/>
              <w:bottom w:val="nil"/>
              <w:right w:val="nil"/>
            </w:tcBorders>
            <w:shd w:val="clear" w:color="auto" w:fill="auto"/>
            <w:noWrap/>
            <w:vAlign w:val="bottom"/>
            <w:hideMark/>
          </w:tcPr>
          <w:p w14:paraId="7A274BC9" w14:textId="77777777" w:rsidR="00ED0E0F" w:rsidRPr="00ED0E0F" w:rsidRDefault="00ED0E0F" w:rsidP="00F16F2C">
            <w:pPr>
              <w:jc w:val="right"/>
              <w:rPr>
                <w:rFonts w:eastAsia="Times New Roman"/>
                <w:color w:val="000000"/>
                <w:u w:val="single"/>
              </w:rPr>
            </w:pPr>
            <w:r w:rsidRPr="00ED0E0F">
              <w:rPr>
                <w:rFonts w:eastAsia="Times New Roman"/>
                <w:color w:val="000000"/>
                <w:u w:val="single"/>
              </w:rPr>
              <w:t>2010</w:t>
            </w:r>
          </w:p>
        </w:tc>
      </w:tr>
      <w:tr w:rsidR="00ED0E0F" w:rsidRPr="00ED0E0F" w14:paraId="5283B2C7" w14:textId="77777777" w:rsidTr="00F16F2C">
        <w:trPr>
          <w:trHeight w:val="308"/>
        </w:trPr>
        <w:tc>
          <w:tcPr>
            <w:tcW w:w="3333" w:type="dxa"/>
            <w:gridSpan w:val="2"/>
            <w:tcBorders>
              <w:top w:val="nil"/>
              <w:left w:val="nil"/>
              <w:bottom w:val="nil"/>
              <w:right w:val="nil"/>
            </w:tcBorders>
            <w:shd w:val="clear" w:color="auto" w:fill="auto"/>
            <w:noWrap/>
            <w:vAlign w:val="bottom"/>
            <w:hideMark/>
          </w:tcPr>
          <w:p w14:paraId="3F00148F" w14:textId="77777777" w:rsidR="00ED0E0F" w:rsidRPr="00ED0E0F" w:rsidRDefault="00ED0E0F" w:rsidP="00F16F2C">
            <w:pPr>
              <w:rPr>
                <w:rFonts w:eastAsia="Times New Roman"/>
                <w:color w:val="000000"/>
              </w:rPr>
            </w:pPr>
            <w:r w:rsidRPr="00ED0E0F">
              <w:rPr>
                <w:rFonts w:eastAsia="Times New Roman"/>
                <w:color w:val="000000"/>
              </w:rPr>
              <w:t>Net Earnings</w:t>
            </w:r>
          </w:p>
        </w:tc>
        <w:tc>
          <w:tcPr>
            <w:tcW w:w="1371" w:type="dxa"/>
            <w:gridSpan w:val="2"/>
            <w:tcBorders>
              <w:top w:val="nil"/>
              <w:left w:val="nil"/>
              <w:bottom w:val="nil"/>
              <w:right w:val="nil"/>
            </w:tcBorders>
            <w:shd w:val="clear" w:color="auto" w:fill="auto"/>
            <w:noWrap/>
            <w:vAlign w:val="bottom"/>
            <w:hideMark/>
          </w:tcPr>
          <w:p w14:paraId="012193CF" w14:textId="77777777" w:rsidR="00ED0E0F" w:rsidRPr="00ED0E0F" w:rsidRDefault="00ED0E0F" w:rsidP="00F16F2C">
            <w:pPr>
              <w:jc w:val="right"/>
              <w:rPr>
                <w:rFonts w:eastAsia="Times New Roman"/>
                <w:color w:val="000000"/>
              </w:rPr>
            </w:pPr>
            <w:r w:rsidRPr="00ED0E0F">
              <w:rPr>
                <w:rFonts w:eastAsia="Times New Roman"/>
                <w:color w:val="000000"/>
              </w:rPr>
              <w:t>59%</w:t>
            </w:r>
          </w:p>
        </w:tc>
        <w:tc>
          <w:tcPr>
            <w:tcW w:w="1873" w:type="dxa"/>
            <w:gridSpan w:val="2"/>
            <w:tcBorders>
              <w:top w:val="nil"/>
              <w:left w:val="nil"/>
              <w:bottom w:val="nil"/>
              <w:right w:val="nil"/>
            </w:tcBorders>
            <w:shd w:val="clear" w:color="auto" w:fill="auto"/>
            <w:noWrap/>
            <w:vAlign w:val="bottom"/>
            <w:hideMark/>
          </w:tcPr>
          <w:p w14:paraId="00302839" w14:textId="77777777" w:rsidR="00ED0E0F" w:rsidRPr="00ED0E0F" w:rsidRDefault="00ED0E0F" w:rsidP="00F16F2C">
            <w:pPr>
              <w:jc w:val="right"/>
              <w:rPr>
                <w:rFonts w:eastAsia="Times New Roman"/>
                <w:color w:val="000000"/>
              </w:rPr>
            </w:pPr>
            <w:r w:rsidRPr="00ED0E0F">
              <w:rPr>
                <w:rFonts w:eastAsia="Times New Roman"/>
                <w:color w:val="000000"/>
              </w:rPr>
              <w:t>62%</w:t>
            </w:r>
          </w:p>
        </w:tc>
      </w:tr>
      <w:tr w:rsidR="00ED0E0F" w:rsidRPr="00ED0E0F" w14:paraId="24B426FC" w14:textId="77777777" w:rsidTr="00F16F2C">
        <w:trPr>
          <w:trHeight w:val="308"/>
        </w:trPr>
        <w:tc>
          <w:tcPr>
            <w:tcW w:w="3333" w:type="dxa"/>
            <w:gridSpan w:val="2"/>
            <w:tcBorders>
              <w:top w:val="nil"/>
              <w:left w:val="nil"/>
              <w:bottom w:val="nil"/>
              <w:right w:val="nil"/>
            </w:tcBorders>
            <w:shd w:val="clear" w:color="auto" w:fill="auto"/>
            <w:noWrap/>
            <w:vAlign w:val="bottom"/>
            <w:hideMark/>
          </w:tcPr>
          <w:p w14:paraId="216E57BE"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Dividends, interest, and rent</w:t>
            </w:r>
          </w:p>
        </w:tc>
        <w:tc>
          <w:tcPr>
            <w:tcW w:w="1371" w:type="dxa"/>
            <w:gridSpan w:val="2"/>
            <w:tcBorders>
              <w:top w:val="nil"/>
              <w:left w:val="nil"/>
              <w:bottom w:val="nil"/>
              <w:right w:val="nil"/>
            </w:tcBorders>
            <w:shd w:val="clear" w:color="auto" w:fill="auto"/>
            <w:noWrap/>
            <w:vAlign w:val="bottom"/>
            <w:hideMark/>
          </w:tcPr>
          <w:p w14:paraId="2128E120" w14:textId="77777777" w:rsidR="00ED0E0F" w:rsidRPr="00ED0E0F" w:rsidRDefault="00ED0E0F" w:rsidP="00F16F2C">
            <w:pPr>
              <w:jc w:val="right"/>
              <w:rPr>
                <w:rFonts w:eastAsia="Times New Roman"/>
                <w:color w:val="000000"/>
              </w:rPr>
            </w:pPr>
            <w:r w:rsidRPr="00ED0E0F">
              <w:rPr>
                <w:rFonts w:eastAsia="Times New Roman"/>
                <w:color w:val="000000"/>
              </w:rPr>
              <w:t>26%</w:t>
            </w:r>
          </w:p>
        </w:tc>
        <w:tc>
          <w:tcPr>
            <w:tcW w:w="1873" w:type="dxa"/>
            <w:gridSpan w:val="2"/>
            <w:tcBorders>
              <w:top w:val="nil"/>
              <w:left w:val="nil"/>
              <w:bottom w:val="nil"/>
              <w:right w:val="nil"/>
            </w:tcBorders>
            <w:shd w:val="clear" w:color="auto" w:fill="auto"/>
            <w:noWrap/>
            <w:vAlign w:val="bottom"/>
            <w:hideMark/>
          </w:tcPr>
          <w:p w14:paraId="38515EF1" w14:textId="77777777" w:rsidR="00ED0E0F" w:rsidRPr="00ED0E0F" w:rsidRDefault="00ED0E0F" w:rsidP="00F16F2C">
            <w:pPr>
              <w:jc w:val="right"/>
              <w:rPr>
                <w:rFonts w:eastAsia="Times New Roman"/>
                <w:color w:val="000000"/>
              </w:rPr>
            </w:pPr>
            <w:r w:rsidRPr="00ED0E0F">
              <w:rPr>
                <w:rFonts w:eastAsia="Times New Roman"/>
                <w:color w:val="000000"/>
              </w:rPr>
              <w:t>20%</w:t>
            </w:r>
          </w:p>
        </w:tc>
      </w:tr>
      <w:tr w:rsidR="00ED0E0F" w:rsidRPr="00ED0E0F" w14:paraId="1E1F3893" w14:textId="77777777" w:rsidTr="00F16F2C">
        <w:trPr>
          <w:trHeight w:val="308"/>
        </w:trPr>
        <w:tc>
          <w:tcPr>
            <w:tcW w:w="3333" w:type="dxa"/>
            <w:gridSpan w:val="2"/>
            <w:tcBorders>
              <w:top w:val="nil"/>
              <w:left w:val="nil"/>
              <w:bottom w:val="nil"/>
              <w:right w:val="nil"/>
            </w:tcBorders>
            <w:shd w:val="clear" w:color="auto" w:fill="auto"/>
            <w:noWrap/>
            <w:vAlign w:val="bottom"/>
            <w:hideMark/>
          </w:tcPr>
          <w:p w14:paraId="2E484673"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Personal current transfer receipts</w:t>
            </w:r>
          </w:p>
        </w:tc>
        <w:tc>
          <w:tcPr>
            <w:tcW w:w="1371" w:type="dxa"/>
            <w:gridSpan w:val="2"/>
            <w:tcBorders>
              <w:top w:val="nil"/>
              <w:left w:val="nil"/>
              <w:bottom w:val="nil"/>
              <w:right w:val="nil"/>
            </w:tcBorders>
            <w:shd w:val="clear" w:color="auto" w:fill="auto"/>
            <w:noWrap/>
            <w:vAlign w:val="bottom"/>
            <w:hideMark/>
          </w:tcPr>
          <w:p w14:paraId="25C36665" w14:textId="77777777" w:rsidR="00ED0E0F" w:rsidRPr="00ED0E0F" w:rsidRDefault="00ED0E0F" w:rsidP="00F16F2C">
            <w:pPr>
              <w:jc w:val="right"/>
              <w:rPr>
                <w:rFonts w:eastAsia="Times New Roman"/>
                <w:color w:val="000000"/>
              </w:rPr>
            </w:pPr>
            <w:r w:rsidRPr="00ED0E0F">
              <w:rPr>
                <w:rFonts w:eastAsia="Times New Roman"/>
                <w:color w:val="000000"/>
              </w:rPr>
              <w:t>15%</w:t>
            </w:r>
          </w:p>
        </w:tc>
        <w:tc>
          <w:tcPr>
            <w:tcW w:w="1873" w:type="dxa"/>
            <w:gridSpan w:val="2"/>
            <w:tcBorders>
              <w:top w:val="nil"/>
              <w:left w:val="nil"/>
              <w:bottom w:val="nil"/>
              <w:right w:val="nil"/>
            </w:tcBorders>
            <w:shd w:val="clear" w:color="auto" w:fill="auto"/>
            <w:noWrap/>
            <w:vAlign w:val="bottom"/>
            <w:hideMark/>
          </w:tcPr>
          <w:p w14:paraId="543C0882" w14:textId="77777777" w:rsidR="00ED0E0F" w:rsidRPr="00ED0E0F" w:rsidRDefault="00ED0E0F" w:rsidP="00F16F2C">
            <w:pPr>
              <w:jc w:val="right"/>
              <w:rPr>
                <w:rFonts w:eastAsia="Times New Roman"/>
                <w:color w:val="000000"/>
              </w:rPr>
            </w:pPr>
            <w:r w:rsidRPr="00ED0E0F">
              <w:rPr>
                <w:rFonts w:eastAsia="Times New Roman"/>
                <w:color w:val="000000"/>
              </w:rPr>
              <w:t>17%</w:t>
            </w:r>
          </w:p>
        </w:tc>
      </w:tr>
      <w:tr w:rsidR="00ED0E0F" w:rsidRPr="00ED0E0F" w14:paraId="7E54866F" w14:textId="77777777" w:rsidTr="00F16F2C">
        <w:trPr>
          <w:trHeight w:val="308"/>
        </w:trPr>
        <w:tc>
          <w:tcPr>
            <w:tcW w:w="3333" w:type="dxa"/>
            <w:gridSpan w:val="2"/>
            <w:tcBorders>
              <w:top w:val="nil"/>
              <w:left w:val="nil"/>
              <w:bottom w:val="nil"/>
              <w:right w:val="nil"/>
            </w:tcBorders>
            <w:shd w:val="clear" w:color="auto" w:fill="auto"/>
            <w:noWrap/>
            <w:vAlign w:val="bottom"/>
          </w:tcPr>
          <w:p w14:paraId="2ECA0E9C" w14:textId="77777777" w:rsidR="00ED0E0F" w:rsidRPr="00ED0E0F" w:rsidRDefault="00ED0E0F" w:rsidP="00F16F2C">
            <w:pPr>
              <w:rPr>
                <w:rFonts w:eastAsia="Times New Roman"/>
                <w:color w:val="000000"/>
                <w:sz w:val="22"/>
                <w:szCs w:val="22"/>
              </w:rPr>
            </w:pPr>
          </w:p>
        </w:tc>
        <w:tc>
          <w:tcPr>
            <w:tcW w:w="1371" w:type="dxa"/>
            <w:gridSpan w:val="2"/>
            <w:tcBorders>
              <w:top w:val="nil"/>
              <w:left w:val="nil"/>
              <w:bottom w:val="nil"/>
              <w:right w:val="nil"/>
            </w:tcBorders>
            <w:shd w:val="clear" w:color="auto" w:fill="auto"/>
            <w:noWrap/>
            <w:vAlign w:val="bottom"/>
          </w:tcPr>
          <w:p w14:paraId="189F3AC9" w14:textId="77777777" w:rsidR="00ED0E0F" w:rsidRPr="00ED0E0F" w:rsidRDefault="00ED0E0F" w:rsidP="00F16F2C">
            <w:pPr>
              <w:jc w:val="right"/>
              <w:rPr>
                <w:rFonts w:eastAsia="Times New Roman"/>
                <w:color w:val="000000"/>
              </w:rPr>
            </w:pPr>
          </w:p>
        </w:tc>
        <w:tc>
          <w:tcPr>
            <w:tcW w:w="1873" w:type="dxa"/>
            <w:gridSpan w:val="2"/>
            <w:tcBorders>
              <w:top w:val="nil"/>
              <w:left w:val="nil"/>
              <w:bottom w:val="nil"/>
              <w:right w:val="nil"/>
            </w:tcBorders>
            <w:shd w:val="clear" w:color="auto" w:fill="auto"/>
            <w:noWrap/>
            <w:vAlign w:val="bottom"/>
          </w:tcPr>
          <w:p w14:paraId="2F9EE8C4" w14:textId="77777777" w:rsidR="00ED0E0F" w:rsidRPr="00ED0E0F" w:rsidRDefault="00ED0E0F" w:rsidP="00F16F2C">
            <w:pPr>
              <w:jc w:val="right"/>
              <w:rPr>
                <w:rFonts w:eastAsia="Times New Roman"/>
                <w:color w:val="000000"/>
              </w:rPr>
            </w:pPr>
          </w:p>
        </w:tc>
      </w:tr>
      <w:tr w:rsidR="00ED0E0F" w:rsidRPr="00ED0E0F" w14:paraId="6B75C5C9" w14:textId="77777777" w:rsidTr="00F16F2C">
        <w:trPr>
          <w:gridAfter w:val="4"/>
          <w:wAfter w:w="3244" w:type="dxa"/>
          <w:trHeight w:val="308"/>
        </w:trPr>
        <w:tc>
          <w:tcPr>
            <w:tcW w:w="3333" w:type="dxa"/>
            <w:gridSpan w:val="2"/>
            <w:tcBorders>
              <w:top w:val="nil"/>
              <w:left w:val="nil"/>
              <w:bottom w:val="nil"/>
              <w:right w:val="nil"/>
            </w:tcBorders>
            <w:shd w:val="clear" w:color="auto" w:fill="auto"/>
            <w:noWrap/>
            <w:vAlign w:val="bottom"/>
            <w:hideMark/>
          </w:tcPr>
          <w:p w14:paraId="0BB64B5C" w14:textId="77777777" w:rsidR="00ED0E0F" w:rsidRPr="00ED0E0F" w:rsidRDefault="00ED0E0F" w:rsidP="00F16F2C">
            <w:pPr>
              <w:rPr>
                <w:rFonts w:eastAsia="Times New Roman"/>
                <w:color w:val="000000"/>
                <w:sz w:val="22"/>
                <w:szCs w:val="22"/>
              </w:rPr>
            </w:pPr>
          </w:p>
        </w:tc>
      </w:tr>
      <w:tr w:rsidR="00ED0E0F" w:rsidRPr="00ED0E0F" w14:paraId="72FDB1A4" w14:textId="77777777" w:rsidTr="00F16F2C">
        <w:trPr>
          <w:gridAfter w:val="1"/>
          <w:wAfter w:w="117" w:type="dxa"/>
          <w:trHeight w:val="300"/>
        </w:trPr>
        <w:tc>
          <w:tcPr>
            <w:tcW w:w="2260" w:type="dxa"/>
            <w:tcBorders>
              <w:top w:val="nil"/>
              <w:left w:val="nil"/>
              <w:bottom w:val="nil"/>
              <w:right w:val="nil"/>
            </w:tcBorders>
            <w:shd w:val="clear" w:color="auto" w:fill="auto"/>
            <w:noWrap/>
            <w:vAlign w:val="bottom"/>
            <w:hideMark/>
          </w:tcPr>
          <w:p w14:paraId="2031A728" w14:textId="77777777" w:rsidR="00ED0E0F" w:rsidRPr="00ED0E0F" w:rsidRDefault="00ED0E0F" w:rsidP="00F16F2C">
            <w:pPr>
              <w:rPr>
                <w:rFonts w:eastAsia="Times New Roman"/>
                <w:color w:val="000000"/>
              </w:rPr>
            </w:pPr>
          </w:p>
        </w:tc>
        <w:tc>
          <w:tcPr>
            <w:tcW w:w="2100" w:type="dxa"/>
            <w:gridSpan w:val="2"/>
            <w:tcBorders>
              <w:top w:val="nil"/>
              <w:left w:val="nil"/>
              <w:bottom w:val="nil"/>
              <w:right w:val="nil"/>
            </w:tcBorders>
            <w:shd w:val="clear" w:color="auto" w:fill="auto"/>
            <w:noWrap/>
            <w:vAlign w:val="bottom"/>
            <w:hideMark/>
          </w:tcPr>
          <w:p w14:paraId="2BE67C2E" w14:textId="77777777" w:rsidR="00ED0E0F" w:rsidRPr="00ED0E0F" w:rsidRDefault="00ED0E0F" w:rsidP="00F16F2C">
            <w:pPr>
              <w:rPr>
                <w:rFonts w:eastAsia="Times New Roman"/>
                <w:b/>
                <w:color w:val="000000"/>
                <w:sz w:val="22"/>
                <w:szCs w:val="22"/>
              </w:rPr>
            </w:pPr>
          </w:p>
          <w:p w14:paraId="4436B199" w14:textId="77777777" w:rsidR="00ED0E0F" w:rsidRPr="00ED0E0F" w:rsidRDefault="00ED0E0F" w:rsidP="00F16F2C">
            <w:pPr>
              <w:jc w:val="center"/>
              <w:rPr>
                <w:rFonts w:eastAsia="Times New Roman"/>
                <w:b/>
                <w:color w:val="000000"/>
                <w:sz w:val="22"/>
                <w:szCs w:val="22"/>
              </w:rPr>
            </w:pPr>
          </w:p>
          <w:p w14:paraId="01481FF7" w14:textId="77777777" w:rsidR="00ED0E0F" w:rsidRPr="00ED0E0F" w:rsidRDefault="00ED0E0F" w:rsidP="00F16F2C">
            <w:pPr>
              <w:jc w:val="center"/>
              <w:rPr>
                <w:rFonts w:eastAsia="Times New Roman"/>
                <w:b/>
                <w:color w:val="000000"/>
                <w:sz w:val="22"/>
                <w:szCs w:val="22"/>
              </w:rPr>
            </w:pPr>
          </w:p>
          <w:p w14:paraId="46FEF0FD" w14:textId="77777777" w:rsidR="00ED0E0F" w:rsidRPr="00ED0E0F" w:rsidRDefault="00ED0E0F" w:rsidP="00F16F2C">
            <w:pPr>
              <w:jc w:val="center"/>
              <w:rPr>
                <w:rFonts w:eastAsia="Times New Roman"/>
                <w:b/>
                <w:color w:val="000000"/>
                <w:sz w:val="22"/>
                <w:szCs w:val="22"/>
              </w:rPr>
            </w:pPr>
          </w:p>
          <w:p w14:paraId="3D7004D6" w14:textId="77777777" w:rsidR="00ED0E0F" w:rsidRPr="00ED0E0F" w:rsidRDefault="00ED0E0F" w:rsidP="00F16F2C">
            <w:pPr>
              <w:jc w:val="center"/>
              <w:rPr>
                <w:rFonts w:eastAsia="Times New Roman"/>
                <w:b/>
                <w:color w:val="000000"/>
                <w:sz w:val="22"/>
                <w:szCs w:val="22"/>
              </w:rPr>
            </w:pPr>
          </w:p>
          <w:p w14:paraId="0D764C67" w14:textId="77777777" w:rsidR="00ED0E0F" w:rsidRPr="00ED0E0F" w:rsidRDefault="00ED0E0F" w:rsidP="00F16F2C">
            <w:pPr>
              <w:jc w:val="center"/>
              <w:rPr>
                <w:rFonts w:eastAsia="Times New Roman"/>
                <w:b/>
                <w:color w:val="000000"/>
                <w:sz w:val="22"/>
                <w:szCs w:val="22"/>
              </w:rPr>
            </w:pPr>
          </w:p>
          <w:p w14:paraId="0E5DC9E9" w14:textId="77777777" w:rsidR="00ED0E0F" w:rsidRPr="00ED0E0F" w:rsidRDefault="00ED0E0F" w:rsidP="00F16F2C">
            <w:pPr>
              <w:jc w:val="center"/>
              <w:rPr>
                <w:rFonts w:eastAsia="Times New Roman"/>
                <w:b/>
                <w:color w:val="000000"/>
                <w:sz w:val="22"/>
                <w:szCs w:val="22"/>
              </w:rPr>
            </w:pPr>
          </w:p>
          <w:p w14:paraId="3F17B5DA" w14:textId="77777777" w:rsidR="00ED0E0F" w:rsidRPr="00ED0E0F" w:rsidRDefault="00ED0E0F" w:rsidP="00F16F2C">
            <w:pPr>
              <w:jc w:val="center"/>
              <w:rPr>
                <w:rFonts w:eastAsia="Times New Roman"/>
                <w:b/>
                <w:color w:val="000000"/>
                <w:sz w:val="22"/>
                <w:szCs w:val="22"/>
              </w:rPr>
            </w:pPr>
          </w:p>
          <w:p w14:paraId="0BA84D9B" w14:textId="77777777" w:rsidR="00ED0E0F" w:rsidRPr="00ED0E0F" w:rsidRDefault="00ED0E0F" w:rsidP="00F16F2C">
            <w:pPr>
              <w:jc w:val="center"/>
              <w:rPr>
                <w:rFonts w:eastAsia="Times New Roman"/>
                <w:b/>
                <w:color w:val="000000"/>
                <w:sz w:val="22"/>
                <w:szCs w:val="22"/>
              </w:rPr>
            </w:pPr>
          </w:p>
          <w:p w14:paraId="52B5EBE1" w14:textId="77777777" w:rsidR="00ED0E0F" w:rsidRPr="00ED0E0F" w:rsidRDefault="00ED0E0F" w:rsidP="00F16F2C">
            <w:pPr>
              <w:jc w:val="center"/>
              <w:rPr>
                <w:rFonts w:eastAsia="Times New Roman"/>
                <w:b/>
                <w:color w:val="000000"/>
                <w:sz w:val="22"/>
                <w:szCs w:val="22"/>
              </w:rPr>
            </w:pPr>
          </w:p>
          <w:p w14:paraId="51C87DDF" w14:textId="77777777" w:rsidR="00ED0E0F" w:rsidRPr="00ED0E0F" w:rsidRDefault="00ED0E0F" w:rsidP="00ED0E0F">
            <w:pPr>
              <w:rPr>
                <w:rFonts w:eastAsia="Times New Roman"/>
                <w:b/>
                <w:color w:val="000000"/>
                <w:sz w:val="22"/>
                <w:szCs w:val="22"/>
              </w:rPr>
            </w:pPr>
          </w:p>
          <w:p w14:paraId="1391BEDD" w14:textId="77777777" w:rsidR="00ED0E0F" w:rsidRPr="00ED0E0F" w:rsidRDefault="00ED0E0F" w:rsidP="00ED0E0F">
            <w:pPr>
              <w:rPr>
                <w:rFonts w:eastAsia="Times New Roman"/>
                <w:b/>
                <w:color w:val="000000"/>
                <w:sz w:val="22"/>
                <w:szCs w:val="22"/>
              </w:rPr>
            </w:pPr>
          </w:p>
          <w:p w14:paraId="5953D882" w14:textId="77777777" w:rsidR="00ED0E0F" w:rsidRPr="00ED0E0F" w:rsidRDefault="00ED0E0F" w:rsidP="00ED0E0F">
            <w:pPr>
              <w:rPr>
                <w:rFonts w:eastAsia="Times New Roman"/>
                <w:b/>
                <w:color w:val="000000"/>
                <w:sz w:val="22"/>
                <w:szCs w:val="22"/>
              </w:rPr>
            </w:pPr>
          </w:p>
          <w:p w14:paraId="00A5E439" w14:textId="77777777" w:rsidR="00ED0E0F" w:rsidRPr="00ED0E0F" w:rsidRDefault="00ED0E0F" w:rsidP="00ED0E0F">
            <w:pPr>
              <w:rPr>
                <w:rFonts w:eastAsia="Times New Roman"/>
                <w:b/>
                <w:color w:val="000000"/>
                <w:sz w:val="22"/>
                <w:szCs w:val="22"/>
              </w:rPr>
            </w:pPr>
          </w:p>
          <w:p w14:paraId="77310EE2" w14:textId="77777777" w:rsidR="00ED0E0F" w:rsidRPr="00ED0E0F" w:rsidRDefault="00ED0E0F" w:rsidP="00ED0E0F">
            <w:pPr>
              <w:rPr>
                <w:rFonts w:eastAsia="Times New Roman"/>
                <w:b/>
                <w:color w:val="000000"/>
                <w:sz w:val="22"/>
                <w:szCs w:val="22"/>
              </w:rPr>
            </w:pPr>
          </w:p>
          <w:p w14:paraId="2826F5E6" w14:textId="77777777" w:rsidR="00ED0E0F" w:rsidRPr="00ED0E0F" w:rsidRDefault="00ED0E0F" w:rsidP="00ED0E0F">
            <w:pPr>
              <w:jc w:val="center"/>
              <w:rPr>
                <w:rFonts w:eastAsia="Times New Roman"/>
                <w:b/>
                <w:color w:val="000000"/>
                <w:sz w:val="22"/>
                <w:szCs w:val="22"/>
              </w:rPr>
            </w:pPr>
            <w:r w:rsidRPr="00ED0E0F">
              <w:rPr>
                <w:rFonts w:eastAsia="Times New Roman"/>
                <w:b/>
                <w:color w:val="000000"/>
                <w:sz w:val="22"/>
                <w:szCs w:val="22"/>
              </w:rPr>
              <w:t>Table 22</w:t>
            </w:r>
          </w:p>
          <w:p w14:paraId="79B44641" w14:textId="77777777" w:rsidR="00ED0E0F" w:rsidRPr="00ED0E0F" w:rsidRDefault="00ED0E0F" w:rsidP="00ED0E0F">
            <w:pPr>
              <w:jc w:val="center"/>
              <w:rPr>
                <w:rFonts w:eastAsia="Times New Roman"/>
                <w:b/>
                <w:color w:val="000000"/>
                <w:sz w:val="22"/>
                <w:szCs w:val="22"/>
              </w:rPr>
            </w:pPr>
            <w:r w:rsidRPr="00ED0E0F">
              <w:rPr>
                <w:rFonts w:eastAsia="Times New Roman"/>
                <w:b/>
                <w:color w:val="000000"/>
                <w:sz w:val="22"/>
                <w:szCs w:val="22"/>
              </w:rPr>
              <w:t>Stevens County</w:t>
            </w:r>
          </w:p>
          <w:p w14:paraId="13F81351" w14:textId="77777777" w:rsidR="00ED0E0F" w:rsidRPr="00ED0E0F" w:rsidRDefault="00ED0E0F" w:rsidP="00ED0E0F">
            <w:pPr>
              <w:jc w:val="center"/>
              <w:rPr>
                <w:rFonts w:eastAsia="Times New Roman"/>
                <w:color w:val="000000"/>
                <w:u w:val="single"/>
              </w:rPr>
            </w:pPr>
            <w:r w:rsidRPr="00ED0E0F">
              <w:rPr>
                <w:rFonts w:eastAsia="Times New Roman"/>
                <w:b/>
                <w:color w:val="000000"/>
                <w:sz w:val="22"/>
                <w:szCs w:val="22"/>
              </w:rPr>
              <w:t>Per Capita Personal Income (PCPI)</w:t>
            </w:r>
          </w:p>
          <w:p w14:paraId="2F09CCE3" w14:textId="77777777" w:rsidR="00ED0E0F" w:rsidRPr="00ED0E0F" w:rsidRDefault="00ED0E0F" w:rsidP="00F16F2C">
            <w:pPr>
              <w:rPr>
                <w:rFonts w:eastAsia="Times New Roman"/>
                <w:color w:val="000000"/>
                <w:u w:val="single"/>
              </w:rPr>
            </w:pPr>
          </w:p>
          <w:p w14:paraId="2605FEBA" w14:textId="77777777" w:rsidR="00ED0E0F" w:rsidRPr="00ED0E0F" w:rsidRDefault="00ED0E0F" w:rsidP="00F16F2C">
            <w:pPr>
              <w:rPr>
                <w:rFonts w:eastAsia="Times New Roman"/>
                <w:color w:val="000000"/>
                <w:u w:val="single"/>
              </w:rPr>
            </w:pPr>
            <w:r w:rsidRPr="00ED0E0F">
              <w:rPr>
                <w:rFonts w:eastAsia="Times New Roman"/>
                <w:color w:val="000000"/>
                <w:u w:val="single"/>
              </w:rPr>
              <w:t>2000</w:t>
            </w:r>
          </w:p>
        </w:tc>
        <w:tc>
          <w:tcPr>
            <w:tcW w:w="2100" w:type="dxa"/>
            <w:gridSpan w:val="2"/>
            <w:tcBorders>
              <w:top w:val="nil"/>
              <w:left w:val="nil"/>
              <w:bottom w:val="nil"/>
              <w:right w:val="nil"/>
            </w:tcBorders>
            <w:shd w:val="clear" w:color="auto" w:fill="auto"/>
            <w:noWrap/>
            <w:vAlign w:val="bottom"/>
            <w:hideMark/>
          </w:tcPr>
          <w:p w14:paraId="4F09EC61" w14:textId="77777777" w:rsidR="00ED0E0F" w:rsidRPr="00ED0E0F" w:rsidRDefault="00ED0E0F" w:rsidP="00F16F2C">
            <w:pPr>
              <w:rPr>
                <w:rFonts w:eastAsia="Times New Roman"/>
                <w:color w:val="000000"/>
                <w:u w:val="single"/>
              </w:rPr>
            </w:pPr>
          </w:p>
          <w:p w14:paraId="4ABE11AA" w14:textId="77777777" w:rsidR="00ED0E0F" w:rsidRPr="00ED0E0F" w:rsidRDefault="00ED0E0F" w:rsidP="00F16F2C">
            <w:pPr>
              <w:rPr>
                <w:rFonts w:eastAsia="Times New Roman"/>
                <w:color w:val="000000"/>
                <w:u w:val="single"/>
              </w:rPr>
            </w:pPr>
          </w:p>
          <w:p w14:paraId="78B88B15" w14:textId="77777777" w:rsidR="00ED0E0F" w:rsidRPr="00ED0E0F" w:rsidRDefault="00ED0E0F" w:rsidP="00F16F2C">
            <w:pPr>
              <w:rPr>
                <w:rFonts w:eastAsia="Times New Roman"/>
                <w:color w:val="000000"/>
                <w:u w:val="single"/>
              </w:rPr>
            </w:pPr>
          </w:p>
          <w:p w14:paraId="5ABCAD26" w14:textId="77777777" w:rsidR="00ED0E0F" w:rsidRPr="00ED0E0F" w:rsidRDefault="00ED0E0F" w:rsidP="00F16F2C">
            <w:pPr>
              <w:rPr>
                <w:rFonts w:eastAsia="Times New Roman"/>
                <w:color w:val="000000"/>
                <w:u w:val="single"/>
              </w:rPr>
            </w:pPr>
          </w:p>
          <w:p w14:paraId="134B62D9" w14:textId="77777777" w:rsidR="00ED0E0F" w:rsidRPr="00ED0E0F" w:rsidRDefault="00ED0E0F" w:rsidP="00F16F2C">
            <w:pPr>
              <w:rPr>
                <w:rFonts w:eastAsia="Times New Roman"/>
                <w:color w:val="000000"/>
                <w:u w:val="single"/>
              </w:rPr>
            </w:pPr>
          </w:p>
          <w:p w14:paraId="4E1BE2B7" w14:textId="77777777" w:rsidR="00ED0E0F" w:rsidRPr="00ED0E0F" w:rsidRDefault="00ED0E0F" w:rsidP="00F16F2C">
            <w:pPr>
              <w:rPr>
                <w:rFonts w:eastAsia="Times New Roman"/>
                <w:color w:val="000000"/>
                <w:u w:val="single"/>
              </w:rPr>
            </w:pPr>
          </w:p>
          <w:p w14:paraId="1ED5760D" w14:textId="77777777" w:rsidR="00ED0E0F" w:rsidRPr="00ED0E0F" w:rsidRDefault="00ED0E0F" w:rsidP="00F16F2C">
            <w:pPr>
              <w:rPr>
                <w:rFonts w:eastAsia="Times New Roman"/>
                <w:color w:val="000000"/>
                <w:u w:val="single"/>
              </w:rPr>
            </w:pPr>
          </w:p>
          <w:p w14:paraId="7E1E95F4" w14:textId="77777777" w:rsidR="00ED0E0F" w:rsidRPr="00ED0E0F" w:rsidRDefault="00ED0E0F" w:rsidP="00F16F2C">
            <w:pPr>
              <w:rPr>
                <w:rFonts w:eastAsia="Times New Roman"/>
                <w:color w:val="000000"/>
                <w:u w:val="single"/>
              </w:rPr>
            </w:pPr>
          </w:p>
          <w:p w14:paraId="766BAB8C" w14:textId="77777777" w:rsidR="00ED0E0F" w:rsidRPr="00ED0E0F" w:rsidRDefault="00ED0E0F" w:rsidP="00F16F2C">
            <w:pPr>
              <w:rPr>
                <w:rFonts w:eastAsia="Times New Roman"/>
                <w:color w:val="000000"/>
                <w:u w:val="single"/>
              </w:rPr>
            </w:pPr>
          </w:p>
          <w:p w14:paraId="1BA10815" w14:textId="77777777" w:rsidR="00ED0E0F" w:rsidRPr="00ED0E0F" w:rsidRDefault="00ED0E0F" w:rsidP="00F16F2C">
            <w:pPr>
              <w:rPr>
                <w:rFonts w:eastAsia="Times New Roman"/>
                <w:color w:val="000000"/>
                <w:u w:val="single"/>
              </w:rPr>
            </w:pPr>
          </w:p>
          <w:p w14:paraId="0BBFC89A" w14:textId="77777777" w:rsidR="00ED0E0F" w:rsidRPr="00ED0E0F" w:rsidRDefault="00ED0E0F" w:rsidP="00F16F2C">
            <w:pPr>
              <w:rPr>
                <w:rFonts w:eastAsia="Times New Roman"/>
                <w:color w:val="000000"/>
                <w:u w:val="single"/>
              </w:rPr>
            </w:pPr>
          </w:p>
          <w:p w14:paraId="577F6D8C" w14:textId="77777777" w:rsidR="00ED0E0F" w:rsidRPr="00ED0E0F" w:rsidRDefault="00ED0E0F" w:rsidP="00F16F2C">
            <w:pPr>
              <w:rPr>
                <w:rFonts w:eastAsia="Times New Roman"/>
                <w:color w:val="000000"/>
                <w:u w:val="single"/>
              </w:rPr>
            </w:pPr>
          </w:p>
          <w:p w14:paraId="4E9A7724" w14:textId="77777777" w:rsidR="00ED0E0F" w:rsidRPr="00ED0E0F" w:rsidRDefault="00ED0E0F" w:rsidP="00F16F2C">
            <w:pPr>
              <w:rPr>
                <w:rFonts w:eastAsia="Times New Roman"/>
                <w:color w:val="000000"/>
                <w:u w:val="single"/>
              </w:rPr>
            </w:pPr>
          </w:p>
          <w:p w14:paraId="16D96D68" w14:textId="77777777" w:rsidR="00ED0E0F" w:rsidRPr="00ED0E0F" w:rsidRDefault="00ED0E0F" w:rsidP="00F16F2C">
            <w:pPr>
              <w:rPr>
                <w:rFonts w:eastAsia="Times New Roman"/>
                <w:color w:val="000000"/>
                <w:u w:val="single"/>
              </w:rPr>
            </w:pPr>
          </w:p>
          <w:p w14:paraId="3014EC70" w14:textId="77777777" w:rsidR="00ED0E0F" w:rsidRPr="00ED0E0F" w:rsidRDefault="00ED0E0F" w:rsidP="00F16F2C">
            <w:pPr>
              <w:rPr>
                <w:rFonts w:eastAsia="Times New Roman"/>
                <w:color w:val="000000"/>
                <w:u w:val="single"/>
              </w:rPr>
            </w:pPr>
          </w:p>
          <w:p w14:paraId="2DBF5F21" w14:textId="77777777" w:rsidR="00ED0E0F" w:rsidRPr="00ED0E0F" w:rsidRDefault="00ED0E0F" w:rsidP="00F16F2C">
            <w:pPr>
              <w:rPr>
                <w:rFonts w:eastAsia="Times New Roman"/>
                <w:color w:val="000000"/>
                <w:u w:val="single"/>
              </w:rPr>
            </w:pPr>
          </w:p>
          <w:p w14:paraId="21B131AF" w14:textId="77777777" w:rsidR="00ED0E0F" w:rsidRPr="00ED0E0F" w:rsidRDefault="00ED0E0F" w:rsidP="00F16F2C">
            <w:pPr>
              <w:rPr>
                <w:rFonts w:eastAsia="Times New Roman"/>
                <w:color w:val="000000"/>
                <w:u w:val="single"/>
              </w:rPr>
            </w:pPr>
          </w:p>
          <w:p w14:paraId="25CBBEFF" w14:textId="77777777" w:rsidR="00ED0E0F" w:rsidRPr="00ED0E0F" w:rsidRDefault="00ED0E0F" w:rsidP="00F16F2C">
            <w:pPr>
              <w:rPr>
                <w:rFonts w:eastAsia="Times New Roman"/>
                <w:color w:val="000000"/>
                <w:u w:val="single"/>
              </w:rPr>
            </w:pPr>
          </w:p>
          <w:p w14:paraId="2E46F3A4" w14:textId="77777777" w:rsidR="00ED0E0F" w:rsidRPr="00ED0E0F" w:rsidRDefault="00ED0E0F" w:rsidP="00F16F2C">
            <w:pPr>
              <w:rPr>
                <w:rFonts w:eastAsia="Times New Roman"/>
                <w:color w:val="000000"/>
                <w:u w:val="single"/>
              </w:rPr>
            </w:pPr>
            <w:r w:rsidRPr="00ED0E0F">
              <w:rPr>
                <w:rFonts w:eastAsia="Times New Roman"/>
                <w:color w:val="000000"/>
                <w:u w:val="single"/>
              </w:rPr>
              <w:t>2010</w:t>
            </w:r>
          </w:p>
        </w:tc>
      </w:tr>
      <w:tr w:rsidR="00ED0E0F" w:rsidRPr="00ED0E0F" w14:paraId="58F2F04A" w14:textId="77777777" w:rsidTr="00F16F2C">
        <w:trPr>
          <w:gridAfter w:val="1"/>
          <w:wAfter w:w="117" w:type="dxa"/>
          <w:trHeight w:val="300"/>
        </w:trPr>
        <w:tc>
          <w:tcPr>
            <w:tcW w:w="2260" w:type="dxa"/>
            <w:tcBorders>
              <w:top w:val="nil"/>
              <w:left w:val="nil"/>
              <w:bottom w:val="nil"/>
              <w:right w:val="nil"/>
            </w:tcBorders>
            <w:shd w:val="clear" w:color="auto" w:fill="auto"/>
            <w:noWrap/>
            <w:vAlign w:val="bottom"/>
            <w:hideMark/>
          </w:tcPr>
          <w:p w14:paraId="0994E355" w14:textId="77777777" w:rsidR="00ED0E0F" w:rsidRPr="00ED0E0F" w:rsidRDefault="00ED0E0F" w:rsidP="00F16F2C">
            <w:pPr>
              <w:rPr>
                <w:rFonts w:eastAsia="Times New Roman"/>
                <w:color w:val="000000"/>
              </w:rPr>
            </w:pPr>
            <w:r w:rsidRPr="00ED0E0F">
              <w:rPr>
                <w:rFonts w:eastAsia="Times New Roman"/>
                <w:color w:val="000000"/>
              </w:rPr>
              <w:t>Total Earnings</w:t>
            </w:r>
          </w:p>
        </w:tc>
        <w:tc>
          <w:tcPr>
            <w:tcW w:w="2100" w:type="dxa"/>
            <w:gridSpan w:val="2"/>
            <w:tcBorders>
              <w:top w:val="nil"/>
              <w:left w:val="nil"/>
              <w:bottom w:val="nil"/>
              <w:right w:val="nil"/>
            </w:tcBorders>
            <w:shd w:val="clear" w:color="auto" w:fill="auto"/>
            <w:noWrap/>
            <w:vAlign w:val="bottom"/>
            <w:hideMark/>
          </w:tcPr>
          <w:p w14:paraId="2FE1E602" w14:textId="77777777" w:rsidR="00ED0E0F" w:rsidRPr="00ED0E0F" w:rsidRDefault="00ED0E0F" w:rsidP="00F16F2C">
            <w:pPr>
              <w:rPr>
                <w:rFonts w:eastAsia="Times New Roman"/>
                <w:color w:val="000000"/>
              </w:rPr>
            </w:pPr>
            <w:r w:rsidRPr="00ED0E0F">
              <w:rPr>
                <w:rFonts w:eastAsia="Times New Roman"/>
                <w:color w:val="000000"/>
              </w:rPr>
              <w:t xml:space="preserve">$127,520,465 </w:t>
            </w:r>
          </w:p>
        </w:tc>
        <w:tc>
          <w:tcPr>
            <w:tcW w:w="2100" w:type="dxa"/>
            <w:gridSpan w:val="2"/>
            <w:tcBorders>
              <w:top w:val="nil"/>
              <w:left w:val="nil"/>
              <w:bottom w:val="nil"/>
              <w:right w:val="nil"/>
            </w:tcBorders>
            <w:shd w:val="clear" w:color="auto" w:fill="auto"/>
            <w:noWrap/>
            <w:vAlign w:val="bottom"/>
            <w:hideMark/>
          </w:tcPr>
          <w:p w14:paraId="0841A210" w14:textId="77777777" w:rsidR="00ED0E0F" w:rsidRPr="00ED0E0F" w:rsidRDefault="00ED0E0F" w:rsidP="00F16F2C">
            <w:pPr>
              <w:rPr>
                <w:rFonts w:eastAsia="Times New Roman"/>
                <w:color w:val="000000"/>
              </w:rPr>
            </w:pPr>
            <w:r w:rsidRPr="00ED0E0F">
              <w:rPr>
                <w:rFonts w:eastAsia="Times New Roman"/>
                <w:color w:val="000000"/>
              </w:rPr>
              <w:t xml:space="preserve">$172,506,761 </w:t>
            </w:r>
          </w:p>
        </w:tc>
      </w:tr>
      <w:tr w:rsidR="00ED0E0F" w:rsidRPr="00ED0E0F" w14:paraId="73B0ED38" w14:textId="77777777" w:rsidTr="00F16F2C">
        <w:trPr>
          <w:gridAfter w:val="1"/>
          <w:wAfter w:w="117" w:type="dxa"/>
          <w:trHeight w:val="300"/>
        </w:trPr>
        <w:tc>
          <w:tcPr>
            <w:tcW w:w="2260" w:type="dxa"/>
            <w:tcBorders>
              <w:top w:val="nil"/>
              <w:left w:val="nil"/>
              <w:bottom w:val="nil"/>
              <w:right w:val="nil"/>
            </w:tcBorders>
            <w:shd w:val="clear" w:color="auto" w:fill="auto"/>
            <w:noWrap/>
            <w:vAlign w:val="bottom"/>
            <w:hideMark/>
          </w:tcPr>
          <w:p w14:paraId="7AF934B9" w14:textId="77777777" w:rsidR="00ED0E0F" w:rsidRPr="00ED0E0F" w:rsidRDefault="00ED0E0F" w:rsidP="00F16F2C">
            <w:pPr>
              <w:rPr>
                <w:rFonts w:eastAsia="Times New Roman"/>
                <w:color w:val="000000"/>
              </w:rPr>
            </w:pPr>
            <w:r w:rsidRPr="00ED0E0F">
              <w:rPr>
                <w:rFonts w:eastAsia="Times New Roman"/>
                <w:color w:val="000000"/>
              </w:rPr>
              <w:t>PCPI</w:t>
            </w:r>
          </w:p>
        </w:tc>
        <w:tc>
          <w:tcPr>
            <w:tcW w:w="2100" w:type="dxa"/>
            <w:gridSpan w:val="2"/>
            <w:tcBorders>
              <w:top w:val="nil"/>
              <w:left w:val="nil"/>
              <w:bottom w:val="nil"/>
              <w:right w:val="nil"/>
            </w:tcBorders>
            <w:shd w:val="clear" w:color="auto" w:fill="auto"/>
            <w:noWrap/>
            <w:vAlign w:val="bottom"/>
            <w:hideMark/>
          </w:tcPr>
          <w:p w14:paraId="4568A859" w14:textId="77777777" w:rsidR="00ED0E0F" w:rsidRPr="00ED0E0F" w:rsidRDefault="00ED0E0F" w:rsidP="00F16F2C">
            <w:pPr>
              <w:rPr>
                <w:rFonts w:eastAsia="Times New Roman"/>
                <w:color w:val="000000"/>
              </w:rPr>
            </w:pPr>
            <w:r w:rsidRPr="00ED0E0F">
              <w:rPr>
                <w:rFonts w:eastAsia="Times New Roman"/>
                <w:color w:val="000000"/>
              </w:rPr>
              <w:t xml:space="preserve">$25,503 </w:t>
            </w:r>
          </w:p>
        </w:tc>
        <w:tc>
          <w:tcPr>
            <w:tcW w:w="2100" w:type="dxa"/>
            <w:gridSpan w:val="2"/>
            <w:tcBorders>
              <w:top w:val="nil"/>
              <w:left w:val="nil"/>
              <w:bottom w:val="nil"/>
              <w:right w:val="nil"/>
            </w:tcBorders>
            <w:shd w:val="clear" w:color="auto" w:fill="auto"/>
            <w:noWrap/>
            <w:vAlign w:val="bottom"/>
            <w:hideMark/>
          </w:tcPr>
          <w:p w14:paraId="5B0F4402" w14:textId="77777777" w:rsidR="00ED0E0F" w:rsidRPr="00ED0E0F" w:rsidRDefault="00ED0E0F" w:rsidP="00F16F2C">
            <w:pPr>
              <w:rPr>
                <w:rFonts w:eastAsia="Times New Roman"/>
                <w:color w:val="000000"/>
              </w:rPr>
            </w:pPr>
            <w:r w:rsidRPr="00ED0E0F">
              <w:rPr>
                <w:rFonts w:eastAsia="Times New Roman"/>
                <w:color w:val="000000"/>
              </w:rPr>
              <w:t xml:space="preserve">$41,148 </w:t>
            </w:r>
          </w:p>
        </w:tc>
      </w:tr>
      <w:tr w:rsidR="00ED0E0F" w:rsidRPr="00ED0E0F" w14:paraId="4EFEFAD9" w14:textId="77777777" w:rsidTr="00F16F2C">
        <w:trPr>
          <w:gridAfter w:val="1"/>
          <w:wAfter w:w="117" w:type="dxa"/>
          <w:trHeight w:val="300"/>
        </w:trPr>
        <w:tc>
          <w:tcPr>
            <w:tcW w:w="2260" w:type="dxa"/>
            <w:tcBorders>
              <w:top w:val="nil"/>
              <w:left w:val="nil"/>
              <w:bottom w:val="nil"/>
              <w:right w:val="nil"/>
            </w:tcBorders>
            <w:shd w:val="clear" w:color="auto" w:fill="auto"/>
            <w:noWrap/>
            <w:vAlign w:val="bottom"/>
            <w:hideMark/>
          </w:tcPr>
          <w:p w14:paraId="65897E25" w14:textId="77777777" w:rsidR="00ED0E0F" w:rsidRPr="00ED0E0F" w:rsidRDefault="00ED0E0F" w:rsidP="00F16F2C">
            <w:pPr>
              <w:rPr>
                <w:rFonts w:eastAsia="Times New Roman"/>
                <w:color w:val="000000"/>
              </w:rPr>
            </w:pPr>
            <w:r w:rsidRPr="00ED0E0F">
              <w:rPr>
                <w:rFonts w:eastAsia="Times New Roman"/>
                <w:color w:val="000000"/>
              </w:rPr>
              <w:t xml:space="preserve">State Ranking </w:t>
            </w:r>
          </w:p>
        </w:tc>
        <w:tc>
          <w:tcPr>
            <w:tcW w:w="2100" w:type="dxa"/>
            <w:gridSpan w:val="2"/>
            <w:tcBorders>
              <w:top w:val="nil"/>
              <w:left w:val="nil"/>
              <w:bottom w:val="nil"/>
              <w:right w:val="nil"/>
            </w:tcBorders>
            <w:shd w:val="clear" w:color="auto" w:fill="auto"/>
            <w:noWrap/>
            <w:vAlign w:val="bottom"/>
            <w:hideMark/>
          </w:tcPr>
          <w:p w14:paraId="66B93492" w14:textId="77777777" w:rsidR="00ED0E0F" w:rsidRPr="00ED0E0F" w:rsidRDefault="00ED0E0F" w:rsidP="00F16F2C">
            <w:pPr>
              <w:rPr>
                <w:rFonts w:eastAsia="Times New Roman"/>
                <w:color w:val="000000"/>
              </w:rPr>
            </w:pPr>
            <w:r w:rsidRPr="00ED0E0F">
              <w:rPr>
                <w:rFonts w:eastAsia="Times New Roman"/>
                <w:color w:val="000000"/>
              </w:rPr>
              <w:t>39</w:t>
            </w:r>
          </w:p>
        </w:tc>
        <w:tc>
          <w:tcPr>
            <w:tcW w:w="2100" w:type="dxa"/>
            <w:gridSpan w:val="2"/>
            <w:tcBorders>
              <w:top w:val="nil"/>
              <w:left w:val="nil"/>
              <w:bottom w:val="nil"/>
              <w:right w:val="nil"/>
            </w:tcBorders>
            <w:shd w:val="clear" w:color="auto" w:fill="auto"/>
            <w:noWrap/>
            <w:vAlign w:val="bottom"/>
            <w:hideMark/>
          </w:tcPr>
          <w:p w14:paraId="6A22AACA" w14:textId="77777777" w:rsidR="00ED0E0F" w:rsidRPr="00ED0E0F" w:rsidRDefault="00ED0E0F" w:rsidP="00F16F2C">
            <w:pPr>
              <w:rPr>
                <w:rFonts w:eastAsia="Times New Roman"/>
                <w:color w:val="000000"/>
              </w:rPr>
            </w:pPr>
            <w:r w:rsidRPr="00ED0E0F">
              <w:rPr>
                <w:rFonts w:eastAsia="Times New Roman"/>
                <w:color w:val="000000"/>
              </w:rPr>
              <w:t>22</w:t>
            </w:r>
          </w:p>
        </w:tc>
      </w:tr>
    </w:tbl>
    <w:p w14:paraId="26EA2D27" w14:textId="77777777" w:rsidR="00ED0E0F" w:rsidRPr="00ED0E0F" w:rsidRDefault="00ED0E0F" w:rsidP="00ED0E0F">
      <w:pPr>
        <w:rPr>
          <w:b/>
        </w:rPr>
      </w:pPr>
    </w:p>
    <w:p w14:paraId="00D2EE3D" w14:textId="61099701" w:rsidR="00ED0E0F" w:rsidRPr="00ED0E0F" w:rsidRDefault="00ED0E0F" w:rsidP="00ED0E0F">
      <w:pPr>
        <w:rPr>
          <w:b/>
        </w:rPr>
      </w:pPr>
      <w:r w:rsidRPr="00ED0E0F">
        <w:rPr>
          <w:b/>
        </w:rPr>
        <w:t xml:space="preserve">Per Capita Personal Income (PCPI) </w:t>
      </w:r>
      <w:r w:rsidRPr="00ED0E0F">
        <w:t>The earnings of person</w:t>
      </w:r>
      <w:r>
        <w:t>s</w:t>
      </w:r>
      <w:r w:rsidRPr="00ED0E0F">
        <w:t xml:space="preserve"> employed</w:t>
      </w:r>
      <w:r>
        <w:t xml:space="preserve"> in Stevens County increased fro</w:t>
      </w:r>
      <w:r w:rsidRPr="00ED0E0F">
        <w:t>m $127,520,465 in 2000 to $172,506,761 in 2010, an average growth of 35.3 percent. In 2010, Stevens County has a per capita personal income (PCPI) o</w:t>
      </w:r>
      <w:r>
        <w:t>f $41,148. This PCPI ranked 22nd</w:t>
      </w:r>
      <w:r w:rsidRPr="00ED0E0F">
        <w:t xml:space="preserve"> in the State. In 2000, Stevens County’s PCPL of $25,503 ranked 39</w:t>
      </w:r>
      <w:r w:rsidRPr="00ED0E0F">
        <w:rPr>
          <w:vertAlign w:val="superscript"/>
        </w:rPr>
        <w:t>th</w:t>
      </w:r>
      <w:r w:rsidRPr="00ED0E0F">
        <w:t xml:space="preserve"> in the State.</w:t>
      </w:r>
    </w:p>
    <w:tbl>
      <w:tblPr>
        <w:tblW w:w="9280" w:type="dxa"/>
        <w:tblInd w:w="93" w:type="dxa"/>
        <w:tblLook w:val="04A0" w:firstRow="1" w:lastRow="0" w:firstColumn="1" w:lastColumn="0" w:noHBand="0" w:noVBand="1"/>
      </w:tblPr>
      <w:tblGrid>
        <w:gridCol w:w="2626"/>
        <w:gridCol w:w="2218"/>
        <w:gridCol w:w="2218"/>
        <w:gridCol w:w="2218"/>
      </w:tblGrid>
      <w:tr w:rsidR="00ED0E0F" w:rsidRPr="00ED0E0F" w14:paraId="5A102BF4" w14:textId="77777777" w:rsidTr="00F16F2C">
        <w:trPr>
          <w:trHeight w:val="327"/>
        </w:trPr>
        <w:tc>
          <w:tcPr>
            <w:tcW w:w="2626" w:type="dxa"/>
            <w:tcBorders>
              <w:top w:val="nil"/>
              <w:left w:val="nil"/>
              <w:bottom w:val="nil"/>
              <w:right w:val="nil"/>
            </w:tcBorders>
            <w:shd w:val="clear" w:color="auto" w:fill="auto"/>
            <w:noWrap/>
            <w:vAlign w:val="bottom"/>
            <w:hideMark/>
          </w:tcPr>
          <w:p w14:paraId="370A4F0F" w14:textId="77777777" w:rsidR="00ED0E0F" w:rsidRPr="00ED0E0F" w:rsidRDefault="00ED0E0F" w:rsidP="00F16F2C">
            <w:pPr>
              <w:rPr>
                <w:rFonts w:eastAsia="Times New Roman"/>
                <w:color w:val="000000"/>
              </w:rPr>
            </w:pPr>
          </w:p>
          <w:p w14:paraId="2187D56F" w14:textId="77777777" w:rsidR="00ED0E0F" w:rsidRPr="00ED0E0F" w:rsidRDefault="00ED0E0F" w:rsidP="00F16F2C">
            <w:pPr>
              <w:rPr>
                <w:rFonts w:eastAsia="Times New Roman"/>
                <w:color w:val="000000"/>
              </w:rPr>
            </w:pPr>
          </w:p>
          <w:p w14:paraId="7313C03D" w14:textId="77777777" w:rsidR="00ED0E0F" w:rsidRPr="00ED0E0F" w:rsidRDefault="00ED0E0F" w:rsidP="00F16F2C">
            <w:pPr>
              <w:rPr>
                <w:rFonts w:eastAsia="Times New Roman"/>
                <w:color w:val="000000"/>
              </w:rPr>
            </w:pPr>
          </w:p>
          <w:p w14:paraId="57C2D7D9" w14:textId="77777777" w:rsidR="00ED0E0F" w:rsidRPr="00ED0E0F" w:rsidRDefault="00ED0E0F" w:rsidP="00F16F2C">
            <w:pPr>
              <w:rPr>
                <w:rFonts w:eastAsia="Times New Roman"/>
                <w:color w:val="000000"/>
              </w:rPr>
            </w:pPr>
          </w:p>
          <w:p w14:paraId="68DF8B0D" w14:textId="77777777" w:rsidR="00ED0E0F" w:rsidRPr="00ED0E0F" w:rsidRDefault="00ED0E0F" w:rsidP="00F16F2C">
            <w:pPr>
              <w:rPr>
                <w:rFonts w:eastAsia="Times New Roman"/>
                <w:color w:val="000000"/>
              </w:rPr>
            </w:pPr>
            <w:r w:rsidRPr="00ED0E0F">
              <w:rPr>
                <w:rFonts w:eastAsia="Times New Roman"/>
                <w:color w:val="000000"/>
              </w:rPr>
              <w:t>City</w:t>
            </w:r>
          </w:p>
        </w:tc>
        <w:tc>
          <w:tcPr>
            <w:tcW w:w="2218" w:type="dxa"/>
            <w:tcBorders>
              <w:top w:val="nil"/>
              <w:left w:val="nil"/>
              <w:bottom w:val="nil"/>
              <w:right w:val="nil"/>
            </w:tcBorders>
            <w:shd w:val="clear" w:color="auto" w:fill="auto"/>
            <w:noWrap/>
            <w:vAlign w:val="bottom"/>
            <w:hideMark/>
          </w:tcPr>
          <w:p w14:paraId="62E66F27" w14:textId="77777777" w:rsidR="00ED0E0F" w:rsidRPr="00ED0E0F" w:rsidRDefault="00ED0E0F" w:rsidP="00F16F2C">
            <w:pPr>
              <w:jc w:val="center"/>
              <w:rPr>
                <w:rFonts w:eastAsia="Times New Roman"/>
                <w:b/>
                <w:color w:val="000000"/>
              </w:rPr>
            </w:pPr>
          </w:p>
          <w:p w14:paraId="3D43078E" w14:textId="77777777" w:rsidR="00ED0E0F" w:rsidRPr="00ED0E0F" w:rsidRDefault="00ED0E0F" w:rsidP="00F16F2C">
            <w:pPr>
              <w:jc w:val="center"/>
              <w:rPr>
                <w:rFonts w:eastAsia="Times New Roman"/>
                <w:b/>
                <w:color w:val="000000"/>
              </w:rPr>
            </w:pPr>
          </w:p>
          <w:p w14:paraId="4F85AB00" w14:textId="77777777" w:rsidR="00ED0E0F" w:rsidRPr="00ED0E0F" w:rsidRDefault="00ED0E0F" w:rsidP="00F16F2C">
            <w:pPr>
              <w:jc w:val="center"/>
              <w:rPr>
                <w:rFonts w:eastAsia="Times New Roman"/>
                <w:b/>
                <w:color w:val="000000"/>
              </w:rPr>
            </w:pPr>
            <w:r w:rsidRPr="00ED0E0F">
              <w:rPr>
                <w:rFonts w:eastAsia="Times New Roman"/>
                <w:b/>
                <w:color w:val="000000"/>
              </w:rPr>
              <w:t>Table 5</w:t>
            </w:r>
          </w:p>
          <w:p w14:paraId="55FE05BA" w14:textId="77777777" w:rsidR="00ED0E0F" w:rsidRPr="00ED0E0F" w:rsidRDefault="00ED0E0F" w:rsidP="00F16F2C">
            <w:pPr>
              <w:jc w:val="center"/>
              <w:rPr>
                <w:rFonts w:eastAsia="Times New Roman"/>
                <w:b/>
                <w:color w:val="000000"/>
              </w:rPr>
            </w:pPr>
            <w:r w:rsidRPr="00ED0E0F">
              <w:rPr>
                <w:rFonts w:eastAsia="Times New Roman"/>
                <w:b/>
                <w:color w:val="000000"/>
              </w:rPr>
              <w:t>Morris Area Population City 2000-2010</w:t>
            </w:r>
          </w:p>
          <w:p w14:paraId="0D2E8B89" w14:textId="77777777" w:rsidR="00ED0E0F" w:rsidRPr="00ED0E0F" w:rsidRDefault="00ED0E0F" w:rsidP="00F16F2C">
            <w:pPr>
              <w:rPr>
                <w:rFonts w:eastAsia="Times New Roman"/>
                <w:color w:val="000000"/>
              </w:rPr>
            </w:pPr>
          </w:p>
          <w:p w14:paraId="4DABCDE0" w14:textId="77777777" w:rsidR="00ED0E0F" w:rsidRPr="00ED0E0F" w:rsidRDefault="00ED0E0F" w:rsidP="00F16F2C">
            <w:pPr>
              <w:rPr>
                <w:rFonts w:eastAsia="Times New Roman"/>
                <w:color w:val="000000"/>
              </w:rPr>
            </w:pPr>
            <w:r w:rsidRPr="00ED0E0F">
              <w:rPr>
                <w:rFonts w:eastAsia="Times New Roman"/>
                <w:color w:val="000000"/>
              </w:rPr>
              <w:t>2000</w:t>
            </w:r>
          </w:p>
        </w:tc>
        <w:tc>
          <w:tcPr>
            <w:tcW w:w="2218" w:type="dxa"/>
            <w:tcBorders>
              <w:top w:val="nil"/>
              <w:left w:val="nil"/>
              <w:bottom w:val="nil"/>
              <w:right w:val="nil"/>
            </w:tcBorders>
            <w:shd w:val="clear" w:color="auto" w:fill="auto"/>
            <w:noWrap/>
            <w:vAlign w:val="bottom"/>
            <w:hideMark/>
          </w:tcPr>
          <w:p w14:paraId="5305F2AD" w14:textId="77777777" w:rsidR="00ED0E0F" w:rsidRPr="00ED0E0F" w:rsidRDefault="00ED0E0F" w:rsidP="00F16F2C">
            <w:pPr>
              <w:rPr>
                <w:rFonts w:eastAsia="Times New Roman"/>
                <w:color w:val="000000"/>
              </w:rPr>
            </w:pPr>
            <w:r w:rsidRPr="00ED0E0F">
              <w:rPr>
                <w:rFonts w:eastAsia="Times New Roman"/>
                <w:color w:val="000000"/>
              </w:rPr>
              <w:t>2010</w:t>
            </w:r>
          </w:p>
        </w:tc>
        <w:tc>
          <w:tcPr>
            <w:tcW w:w="2218" w:type="dxa"/>
            <w:tcBorders>
              <w:top w:val="nil"/>
              <w:left w:val="nil"/>
              <w:bottom w:val="nil"/>
              <w:right w:val="nil"/>
            </w:tcBorders>
            <w:shd w:val="clear" w:color="auto" w:fill="auto"/>
            <w:noWrap/>
            <w:vAlign w:val="bottom"/>
            <w:hideMark/>
          </w:tcPr>
          <w:p w14:paraId="263BAAB2" w14:textId="77777777" w:rsidR="00ED0E0F" w:rsidRPr="00ED0E0F" w:rsidRDefault="00ED0E0F" w:rsidP="00F16F2C">
            <w:pPr>
              <w:rPr>
                <w:rFonts w:eastAsia="Times New Roman"/>
                <w:color w:val="000000"/>
              </w:rPr>
            </w:pPr>
            <w:r w:rsidRPr="00ED0E0F">
              <w:rPr>
                <w:rFonts w:eastAsia="Times New Roman"/>
                <w:color w:val="000000"/>
              </w:rPr>
              <w:t>% Change</w:t>
            </w:r>
          </w:p>
        </w:tc>
      </w:tr>
      <w:tr w:rsidR="00ED0E0F" w:rsidRPr="00ED0E0F" w14:paraId="7C2A3D13" w14:textId="77777777" w:rsidTr="00F16F2C">
        <w:trPr>
          <w:trHeight w:val="327"/>
        </w:trPr>
        <w:tc>
          <w:tcPr>
            <w:tcW w:w="2626" w:type="dxa"/>
            <w:tcBorders>
              <w:top w:val="nil"/>
              <w:left w:val="nil"/>
              <w:bottom w:val="nil"/>
              <w:right w:val="nil"/>
            </w:tcBorders>
            <w:shd w:val="clear" w:color="auto" w:fill="auto"/>
            <w:noWrap/>
            <w:vAlign w:val="bottom"/>
            <w:hideMark/>
          </w:tcPr>
          <w:p w14:paraId="39731FCF" w14:textId="77777777" w:rsidR="00ED0E0F" w:rsidRPr="00ED0E0F" w:rsidRDefault="00ED0E0F" w:rsidP="00F16F2C">
            <w:pPr>
              <w:rPr>
                <w:rFonts w:eastAsia="Times New Roman"/>
                <w:color w:val="000000"/>
              </w:rPr>
            </w:pPr>
            <w:r w:rsidRPr="00ED0E0F">
              <w:rPr>
                <w:rFonts w:eastAsia="Times New Roman"/>
                <w:color w:val="000000"/>
              </w:rPr>
              <w:t>Morris</w:t>
            </w:r>
          </w:p>
        </w:tc>
        <w:tc>
          <w:tcPr>
            <w:tcW w:w="2218" w:type="dxa"/>
            <w:tcBorders>
              <w:top w:val="nil"/>
              <w:left w:val="nil"/>
              <w:bottom w:val="nil"/>
              <w:right w:val="nil"/>
            </w:tcBorders>
            <w:shd w:val="clear" w:color="auto" w:fill="auto"/>
            <w:noWrap/>
            <w:vAlign w:val="bottom"/>
            <w:hideMark/>
          </w:tcPr>
          <w:p w14:paraId="10981ED2"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5,068</w:t>
            </w:r>
          </w:p>
        </w:tc>
        <w:tc>
          <w:tcPr>
            <w:tcW w:w="2218" w:type="dxa"/>
            <w:tcBorders>
              <w:top w:val="nil"/>
              <w:left w:val="nil"/>
              <w:bottom w:val="nil"/>
              <w:right w:val="nil"/>
            </w:tcBorders>
            <w:shd w:val="clear" w:color="auto" w:fill="auto"/>
            <w:noWrap/>
            <w:vAlign w:val="bottom"/>
            <w:hideMark/>
          </w:tcPr>
          <w:p w14:paraId="36E310DE" w14:textId="77777777" w:rsidR="00ED0E0F" w:rsidRPr="00ED0E0F" w:rsidRDefault="00ED0E0F" w:rsidP="00F16F2C">
            <w:pPr>
              <w:rPr>
                <w:rFonts w:eastAsia="Times New Roman"/>
                <w:color w:val="000000"/>
              </w:rPr>
            </w:pPr>
            <w:r w:rsidRPr="00ED0E0F">
              <w:rPr>
                <w:rFonts w:eastAsia="Times New Roman"/>
                <w:color w:val="000000"/>
              </w:rPr>
              <w:t>5,286</w:t>
            </w:r>
          </w:p>
        </w:tc>
        <w:tc>
          <w:tcPr>
            <w:tcW w:w="2218" w:type="dxa"/>
            <w:tcBorders>
              <w:top w:val="nil"/>
              <w:left w:val="nil"/>
              <w:bottom w:val="nil"/>
              <w:right w:val="nil"/>
            </w:tcBorders>
            <w:shd w:val="clear" w:color="auto" w:fill="auto"/>
            <w:noWrap/>
            <w:vAlign w:val="bottom"/>
            <w:hideMark/>
          </w:tcPr>
          <w:p w14:paraId="400ADF6D" w14:textId="77777777" w:rsidR="00ED0E0F" w:rsidRPr="00ED0E0F" w:rsidRDefault="00ED0E0F" w:rsidP="00F16F2C">
            <w:pPr>
              <w:rPr>
                <w:rFonts w:eastAsia="Times New Roman"/>
                <w:color w:val="000000"/>
              </w:rPr>
            </w:pPr>
            <w:r w:rsidRPr="00ED0E0F">
              <w:rPr>
                <w:rFonts w:eastAsia="Times New Roman"/>
                <w:color w:val="000000"/>
              </w:rPr>
              <w:t>4.12%</w:t>
            </w:r>
          </w:p>
        </w:tc>
      </w:tr>
      <w:tr w:rsidR="00ED0E0F" w:rsidRPr="00ED0E0F" w14:paraId="1C994D2C" w14:textId="77777777" w:rsidTr="00F16F2C">
        <w:trPr>
          <w:trHeight w:val="327"/>
        </w:trPr>
        <w:tc>
          <w:tcPr>
            <w:tcW w:w="2626" w:type="dxa"/>
            <w:tcBorders>
              <w:top w:val="nil"/>
              <w:left w:val="nil"/>
              <w:bottom w:val="nil"/>
              <w:right w:val="nil"/>
            </w:tcBorders>
            <w:shd w:val="clear" w:color="auto" w:fill="auto"/>
            <w:noWrap/>
            <w:vAlign w:val="bottom"/>
            <w:hideMark/>
          </w:tcPr>
          <w:p w14:paraId="7B75F1FE" w14:textId="77777777" w:rsidR="00ED0E0F" w:rsidRPr="00ED0E0F" w:rsidRDefault="00ED0E0F" w:rsidP="00F16F2C">
            <w:pPr>
              <w:rPr>
                <w:rFonts w:eastAsia="Times New Roman"/>
                <w:color w:val="000000"/>
              </w:rPr>
            </w:pPr>
            <w:r w:rsidRPr="00ED0E0F">
              <w:rPr>
                <w:rFonts w:eastAsia="Times New Roman"/>
                <w:color w:val="000000"/>
              </w:rPr>
              <w:t>Hancock</w:t>
            </w:r>
          </w:p>
        </w:tc>
        <w:tc>
          <w:tcPr>
            <w:tcW w:w="2218" w:type="dxa"/>
            <w:tcBorders>
              <w:top w:val="nil"/>
              <w:left w:val="nil"/>
              <w:bottom w:val="nil"/>
              <w:right w:val="nil"/>
            </w:tcBorders>
            <w:shd w:val="clear" w:color="auto" w:fill="auto"/>
            <w:noWrap/>
            <w:vAlign w:val="bottom"/>
            <w:hideMark/>
          </w:tcPr>
          <w:p w14:paraId="76D19348"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717</w:t>
            </w:r>
          </w:p>
        </w:tc>
        <w:tc>
          <w:tcPr>
            <w:tcW w:w="2218" w:type="dxa"/>
            <w:tcBorders>
              <w:top w:val="nil"/>
              <w:left w:val="nil"/>
              <w:bottom w:val="nil"/>
              <w:right w:val="nil"/>
            </w:tcBorders>
            <w:shd w:val="clear" w:color="auto" w:fill="auto"/>
            <w:noWrap/>
            <w:vAlign w:val="bottom"/>
            <w:hideMark/>
          </w:tcPr>
          <w:p w14:paraId="610C34A7" w14:textId="77777777" w:rsidR="00ED0E0F" w:rsidRPr="00ED0E0F" w:rsidRDefault="00ED0E0F" w:rsidP="00F16F2C">
            <w:pPr>
              <w:rPr>
                <w:rFonts w:eastAsia="Times New Roman"/>
                <w:color w:val="000000"/>
              </w:rPr>
            </w:pPr>
            <w:r w:rsidRPr="00ED0E0F">
              <w:rPr>
                <w:rFonts w:eastAsia="Times New Roman"/>
                <w:color w:val="000000"/>
              </w:rPr>
              <w:t>765</w:t>
            </w:r>
          </w:p>
        </w:tc>
        <w:tc>
          <w:tcPr>
            <w:tcW w:w="2218" w:type="dxa"/>
            <w:tcBorders>
              <w:top w:val="nil"/>
              <w:left w:val="nil"/>
              <w:bottom w:val="nil"/>
              <w:right w:val="nil"/>
            </w:tcBorders>
            <w:shd w:val="clear" w:color="auto" w:fill="auto"/>
            <w:noWrap/>
            <w:vAlign w:val="bottom"/>
            <w:hideMark/>
          </w:tcPr>
          <w:p w14:paraId="2C4CE27B" w14:textId="77777777" w:rsidR="00ED0E0F" w:rsidRPr="00ED0E0F" w:rsidRDefault="00ED0E0F" w:rsidP="00F16F2C">
            <w:pPr>
              <w:rPr>
                <w:rFonts w:eastAsia="Times New Roman"/>
                <w:color w:val="000000"/>
              </w:rPr>
            </w:pPr>
            <w:r w:rsidRPr="00ED0E0F">
              <w:rPr>
                <w:rFonts w:eastAsia="Times New Roman"/>
                <w:color w:val="000000"/>
              </w:rPr>
              <w:t>6.27%</w:t>
            </w:r>
          </w:p>
        </w:tc>
      </w:tr>
      <w:tr w:rsidR="00ED0E0F" w:rsidRPr="00ED0E0F" w14:paraId="5EF216B9" w14:textId="77777777" w:rsidTr="00F16F2C">
        <w:trPr>
          <w:trHeight w:val="349"/>
        </w:trPr>
        <w:tc>
          <w:tcPr>
            <w:tcW w:w="2626" w:type="dxa"/>
            <w:tcBorders>
              <w:top w:val="nil"/>
              <w:left w:val="nil"/>
              <w:bottom w:val="nil"/>
              <w:right w:val="nil"/>
            </w:tcBorders>
            <w:shd w:val="clear" w:color="auto" w:fill="auto"/>
            <w:noWrap/>
            <w:vAlign w:val="bottom"/>
            <w:hideMark/>
          </w:tcPr>
          <w:p w14:paraId="40324536" w14:textId="77777777" w:rsidR="00ED0E0F" w:rsidRPr="00ED0E0F" w:rsidRDefault="00ED0E0F" w:rsidP="00F16F2C">
            <w:pPr>
              <w:rPr>
                <w:rFonts w:eastAsia="Times New Roman"/>
                <w:color w:val="000000"/>
              </w:rPr>
            </w:pPr>
            <w:proofErr w:type="spellStart"/>
            <w:r w:rsidRPr="00ED0E0F">
              <w:rPr>
                <w:rFonts w:eastAsia="Times New Roman"/>
                <w:color w:val="000000"/>
              </w:rPr>
              <w:t>Chokio</w:t>
            </w:r>
            <w:proofErr w:type="spellEnd"/>
          </w:p>
        </w:tc>
        <w:tc>
          <w:tcPr>
            <w:tcW w:w="2218" w:type="dxa"/>
            <w:tcBorders>
              <w:top w:val="nil"/>
              <w:left w:val="nil"/>
              <w:bottom w:val="nil"/>
              <w:right w:val="nil"/>
            </w:tcBorders>
            <w:shd w:val="clear" w:color="auto" w:fill="auto"/>
            <w:noWrap/>
            <w:vAlign w:val="bottom"/>
            <w:hideMark/>
          </w:tcPr>
          <w:p w14:paraId="6395F33E"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443</w:t>
            </w:r>
          </w:p>
        </w:tc>
        <w:tc>
          <w:tcPr>
            <w:tcW w:w="2218" w:type="dxa"/>
            <w:tcBorders>
              <w:top w:val="nil"/>
              <w:left w:val="nil"/>
              <w:bottom w:val="nil"/>
              <w:right w:val="nil"/>
            </w:tcBorders>
            <w:shd w:val="clear" w:color="auto" w:fill="auto"/>
            <w:noWrap/>
            <w:vAlign w:val="bottom"/>
            <w:hideMark/>
          </w:tcPr>
          <w:p w14:paraId="0AA18E6F" w14:textId="77777777" w:rsidR="00ED0E0F" w:rsidRPr="00ED0E0F" w:rsidRDefault="00ED0E0F" w:rsidP="00F16F2C">
            <w:pPr>
              <w:rPr>
                <w:rFonts w:eastAsia="Times New Roman"/>
                <w:color w:val="000000"/>
              </w:rPr>
            </w:pPr>
            <w:r w:rsidRPr="00ED0E0F">
              <w:rPr>
                <w:rFonts w:eastAsia="Times New Roman"/>
                <w:color w:val="000000"/>
              </w:rPr>
              <w:t>400</w:t>
            </w:r>
          </w:p>
        </w:tc>
        <w:tc>
          <w:tcPr>
            <w:tcW w:w="2218" w:type="dxa"/>
            <w:tcBorders>
              <w:top w:val="nil"/>
              <w:left w:val="nil"/>
              <w:bottom w:val="nil"/>
              <w:right w:val="nil"/>
            </w:tcBorders>
            <w:shd w:val="clear" w:color="auto" w:fill="auto"/>
            <w:noWrap/>
            <w:vAlign w:val="bottom"/>
            <w:hideMark/>
          </w:tcPr>
          <w:p w14:paraId="72E1E3EE" w14:textId="77777777" w:rsidR="00ED0E0F" w:rsidRPr="00ED0E0F" w:rsidRDefault="00ED0E0F" w:rsidP="00F16F2C">
            <w:pPr>
              <w:rPr>
                <w:rFonts w:eastAsia="Times New Roman"/>
                <w:color w:val="000000"/>
              </w:rPr>
            </w:pPr>
            <w:r w:rsidRPr="00ED0E0F">
              <w:rPr>
                <w:rFonts w:eastAsia="Times New Roman"/>
                <w:color w:val="000000"/>
              </w:rPr>
              <w:t>-10.75%</w:t>
            </w:r>
          </w:p>
        </w:tc>
      </w:tr>
      <w:tr w:rsidR="00ED0E0F" w:rsidRPr="00ED0E0F" w14:paraId="5C18A66A" w14:textId="77777777" w:rsidTr="00F16F2C">
        <w:trPr>
          <w:trHeight w:val="327"/>
        </w:trPr>
        <w:tc>
          <w:tcPr>
            <w:tcW w:w="2626" w:type="dxa"/>
            <w:tcBorders>
              <w:top w:val="nil"/>
              <w:left w:val="nil"/>
              <w:bottom w:val="nil"/>
              <w:right w:val="nil"/>
            </w:tcBorders>
            <w:shd w:val="clear" w:color="auto" w:fill="auto"/>
            <w:noWrap/>
            <w:vAlign w:val="bottom"/>
            <w:hideMark/>
          </w:tcPr>
          <w:p w14:paraId="085E9B64" w14:textId="77777777" w:rsidR="00ED0E0F" w:rsidRPr="00ED0E0F" w:rsidRDefault="00ED0E0F" w:rsidP="00F16F2C">
            <w:pPr>
              <w:rPr>
                <w:rFonts w:eastAsia="Times New Roman"/>
                <w:color w:val="000000"/>
              </w:rPr>
            </w:pPr>
            <w:r w:rsidRPr="00ED0E0F">
              <w:rPr>
                <w:rFonts w:eastAsia="Times New Roman"/>
                <w:color w:val="000000"/>
              </w:rPr>
              <w:t>Donnelly</w:t>
            </w:r>
          </w:p>
        </w:tc>
        <w:tc>
          <w:tcPr>
            <w:tcW w:w="2218" w:type="dxa"/>
            <w:tcBorders>
              <w:top w:val="nil"/>
              <w:left w:val="nil"/>
              <w:bottom w:val="nil"/>
              <w:right w:val="nil"/>
            </w:tcBorders>
            <w:shd w:val="clear" w:color="auto" w:fill="auto"/>
            <w:noWrap/>
            <w:vAlign w:val="bottom"/>
            <w:hideMark/>
          </w:tcPr>
          <w:p w14:paraId="307BF92F"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254</w:t>
            </w:r>
          </w:p>
        </w:tc>
        <w:tc>
          <w:tcPr>
            <w:tcW w:w="2218" w:type="dxa"/>
            <w:tcBorders>
              <w:top w:val="nil"/>
              <w:left w:val="nil"/>
              <w:bottom w:val="nil"/>
              <w:right w:val="nil"/>
            </w:tcBorders>
            <w:shd w:val="clear" w:color="auto" w:fill="auto"/>
            <w:noWrap/>
            <w:vAlign w:val="bottom"/>
            <w:hideMark/>
          </w:tcPr>
          <w:p w14:paraId="1F136036" w14:textId="77777777" w:rsidR="00ED0E0F" w:rsidRPr="00ED0E0F" w:rsidRDefault="00ED0E0F" w:rsidP="00F16F2C">
            <w:pPr>
              <w:rPr>
                <w:rFonts w:eastAsia="Times New Roman"/>
                <w:color w:val="000000"/>
              </w:rPr>
            </w:pPr>
            <w:r w:rsidRPr="00ED0E0F">
              <w:rPr>
                <w:rFonts w:eastAsia="Times New Roman"/>
                <w:color w:val="000000"/>
              </w:rPr>
              <w:t>241</w:t>
            </w:r>
          </w:p>
        </w:tc>
        <w:tc>
          <w:tcPr>
            <w:tcW w:w="2218" w:type="dxa"/>
            <w:tcBorders>
              <w:top w:val="nil"/>
              <w:left w:val="nil"/>
              <w:bottom w:val="nil"/>
              <w:right w:val="nil"/>
            </w:tcBorders>
            <w:shd w:val="clear" w:color="auto" w:fill="auto"/>
            <w:noWrap/>
            <w:vAlign w:val="bottom"/>
            <w:hideMark/>
          </w:tcPr>
          <w:p w14:paraId="455EACD1" w14:textId="77777777" w:rsidR="00ED0E0F" w:rsidRPr="00ED0E0F" w:rsidRDefault="00ED0E0F" w:rsidP="00F16F2C">
            <w:pPr>
              <w:rPr>
                <w:rFonts w:eastAsia="Times New Roman"/>
                <w:color w:val="000000"/>
              </w:rPr>
            </w:pPr>
            <w:r w:rsidRPr="00ED0E0F">
              <w:rPr>
                <w:rFonts w:eastAsia="Times New Roman"/>
                <w:color w:val="000000"/>
              </w:rPr>
              <w:t>-5.39%</w:t>
            </w:r>
          </w:p>
        </w:tc>
      </w:tr>
      <w:tr w:rsidR="00ED0E0F" w:rsidRPr="00ED0E0F" w14:paraId="6F6A8124" w14:textId="77777777" w:rsidTr="00F16F2C">
        <w:trPr>
          <w:trHeight w:val="327"/>
        </w:trPr>
        <w:tc>
          <w:tcPr>
            <w:tcW w:w="2626" w:type="dxa"/>
            <w:tcBorders>
              <w:top w:val="nil"/>
              <w:left w:val="nil"/>
              <w:bottom w:val="nil"/>
              <w:right w:val="nil"/>
            </w:tcBorders>
            <w:shd w:val="clear" w:color="auto" w:fill="auto"/>
            <w:noWrap/>
            <w:vAlign w:val="bottom"/>
            <w:hideMark/>
          </w:tcPr>
          <w:p w14:paraId="38B51E34" w14:textId="77777777" w:rsidR="00ED0E0F" w:rsidRPr="00ED0E0F" w:rsidRDefault="00ED0E0F" w:rsidP="00F16F2C">
            <w:pPr>
              <w:rPr>
                <w:rFonts w:eastAsia="Times New Roman"/>
                <w:color w:val="000000"/>
              </w:rPr>
            </w:pPr>
            <w:r w:rsidRPr="00ED0E0F">
              <w:rPr>
                <w:rFonts w:eastAsia="Times New Roman"/>
                <w:color w:val="000000"/>
              </w:rPr>
              <w:t>Alberta</w:t>
            </w:r>
          </w:p>
        </w:tc>
        <w:tc>
          <w:tcPr>
            <w:tcW w:w="2218" w:type="dxa"/>
            <w:tcBorders>
              <w:top w:val="nil"/>
              <w:left w:val="nil"/>
              <w:bottom w:val="nil"/>
              <w:right w:val="nil"/>
            </w:tcBorders>
            <w:shd w:val="clear" w:color="auto" w:fill="auto"/>
            <w:noWrap/>
            <w:vAlign w:val="bottom"/>
            <w:hideMark/>
          </w:tcPr>
          <w:p w14:paraId="175487BC"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142</w:t>
            </w:r>
          </w:p>
        </w:tc>
        <w:tc>
          <w:tcPr>
            <w:tcW w:w="2218" w:type="dxa"/>
            <w:tcBorders>
              <w:top w:val="nil"/>
              <w:left w:val="nil"/>
              <w:bottom w:val="nil"/>
              <w:right w:val="nil"/>
            </w:tcBorders>
            <w:shd w:val="clear" w:color="auto" w:fill="auto"/>
            <w:noWrap/>
            <w:vAlign w:val="bottom"/>
            <w:hideMark/>
          </w:tcPr>
          <w:p w14:paraId="20E7FEC8" w14:textId="77777777" w:rsidR="00ED0E0F" w:rsidRPr="00ED0E0F" w:rsidRDefault="00ED0E0F" w:rsidP="00F16F2C">
            <w:pPr>
              <w:rPr>
                <w:rFonts w:eastAsia="Times New Roman"/>
                <w:color w:val="000000"/>
              </w:rPr>
            </w:pPr>
            <w:r w:rsidRPr="00ED0E0F">
              <w:rPr>
                <w:rFonts w:eastAsia="Times New Roman"/>
                <w:color w:val="000000"/>
              </w:rPr>
              <w:t>103</w:t>
            </w:r>
          </w:p>
        </w:tc>
        <w:tc>
          <w:tcPr>
            <w:tcW w:w="2218" w:type="dxa"/>
            <w:tcBorders>
              <w:top w:val="nil"/>
              <w:left w:val="nil"/>
              <w:bottom w:val="nil"/>
              <w:right w:val="nil"/>
            </w:tcBorders>
            <w:shd w:val="clear" w:color="auto" w:fill="auto"/>
            <w:noWrap/>
            <w:vAlign w:val="bottom"/>
            <w:hideMark/>
          </w:tcPr>
          <w:p w14:paraId="7F25FD11" w14:textId="77777777" w:rsidR="00ED0E0F" w:rsidRPr="00ED0E0F" w:rsidRDefault="00ED0E0F" w:rsidP="00F16F2C">
            <w:pPr>
              <w:rPr>
                <w:rFonts w:eastAsia="Times New Roman"/>
                <w:color w:val="000000"/>
              </w:rPr>
            </w:pPr>
            <w:r w:rsidRPr="00ED0E0F">
              <w:rPr>
                <w:rFonts w:eastAsia="Times New Roman"/>
                <w:color w:val="000000"/>
              </w:rPr>
              <w:t>-37.86%</w:t>
            </w:r>
          </w:p>
        </w:tc>
      </w:tr>
      <w:tr w:rsidR="00ED0E0F" w:rsidRPr="00ED0E0F" w14:paraId="040F4B54" w14:textId="77777777" w:rsidTr="00F16F2C">
        <w:trPr>
          <w:trHeight w:val="327"/>
        </w:trPr>
        <w:tc>
          <w:tcPr>
            <w:tcW w:w="2626" w:type="dxa"/>
            <w:tcBorders>
              <w:top w:val="nil"/>
              <w:left w:val="nil"/>
              <w:bottom w:val="nil"/>
              <w:right w:val="nil"/>
            </w:tcBorders>
            <w:shd w:val="clear" w:color="auto" w:fill="auto"/>
            <w:noWrap/>
            <w:vAlign w:val="bottom"/>
            <w:hideMark/>
          </w:tcPr>
          <w:p w14:paraId="63E9279B" w14:textId="77777777" w:rsidR="00ED0E0F" w:rsidRPr="00ED0E0F" w:rsidRDefault="00ED0E0F" w:rsidP="00F16F2C">
            <w:pPr>
              <w:rPr>
                <w:rFonts w:eastAsia="Times New Roman"/>
                <w:color w:val="000000"/>
              </w:rPr>
            </w:pPr>
            <w:r w:rsidRPr="00ED0E0F">
              <w:rPr>
                <w:rFonts w:eastAsia="Times New Roman"/>
                <w:color w:val="000000"/>
              </w:rPr>
              <w:t>Stevens County</w:t>
            </w:r>
          </w:p>
        </w:tc>
        <w:tc>
          <w:tcPr>
            <w:tcW w:w="2218" w:type="dxa"/>
            <w:tcBorders>
              <w:top w:val="nil"/>
              <w:left w:val="nil"/>
              <w:bottom w:val="nil"/>
              <w:right w:val="nil"/>
            </w:tcBorders>
            <w:shd w:val="clear" w:color="auto" w:fill="auto"/>
            <w:noWrap/>
            <w:vAlign w:val="bottom"/>
            <w:hideMark/>
          </w:tcPr>
          <w:p w14:paraId="02A143F2" w14:textId="77777777" w:rsidR="00ED0E0F" w:rsidRPr="00ED0E0F" w:rsidRDefault="00ED0E0F" w:rsidP="00F16F2C">
            <w:pPr>
              <w:rPr>
                <w:rFonts w:eastAsia="Times New Roman"/>
                <w:color w:val="000000"/>
              </w:rPr>
            </w:pPr>
            <w:r w:rsidRPr="00ED0E0F">
              <w:rPr>
                <w:rFonts w:eastAsia="Times New Roman"/>
                <w:color w:val="000000"/>
              </w:rPr>
              <w:t>10,053</w:t>
            </w:r>
          </w:p>
        </w:tc>
        <w:tc>
          <w:tcPr>
            <w:tcW w:w="2218" w:type="dxa"/>
            <w:tcBorders>
              <w:top w:val="nil"/>
              <w:left w:val="nil"/>
              <w:bottom w:val="nil"/>
              <w:right w:val="nil"/>
            </w:tcBorders>
            <w:shd w:val="clear" w:color="auto" w:fill="auto"/>
            <w:noWrap/>
            <w:vAlign w:val="bottom"/>
            <w:hideMark/>
          </w:tcPr>
          <w:p w14:paraId="7FB85E32" w14:textId="77777777" w:rsidR="00ED0E0F" w:rsidRPr="00ED0E0F" w:rsidRDefault="00ED0E0F" w:rsidP="00F16F2C">
            <w:pPr>
              <w:rPr>
                <w:rFonts w:eastAsia="Times New Roman"/>
                <w:color w:val="000000"/>
              </w:rPr>
            </w:pPr>
            <w:r w:rsidRPr="00ED0E0F">
              <w:rPr>
                <w:rFonts w:eastAsia="Times New Roman"/>
                <w:color w:val="000000"/>
              </w:rPr>
              <w:t>9,726</w:t>
            </w:r>
          </w:p>
        </w:tc>
        <w:tc>
          <w:tcPr>
            <w:tcW w:w="2218" w:type="dxa"/>
            <w:tcBorders>
              <w:top w:val="nil"/>
              <w:left w:val="nil"/>
              <w:bottom w:val="nil"/>
              <w:right w:val="nil"/>
            </w:tcBorders>
            <w:shd w:val="clear" w:color="auto" w:fill="auto"/>
            <w:noWrap/>
            <w:vAlign w:val="bottom"/>
            <w:hideMark/>
          </w:tcPr>
          <w:p w14:paraId="5F02A8B7" w14:textId="77777777" w:rsidR="00ED0E0F" w:rsidRPr="00ED0E0F" w:rsidRDefault="00ED0E0F" w:rsidP="00F16F2C">
            <w:pPr>
              <w:rPr>
                <w:rFonts w:eastAsia="Times New Roman"/>
                <w:color w:val="000000"/>
              </w:rPr>
            </w:pPr>
            <w:r w:rsidRPr="00ED0E0F">
              <w:rPr>
                <w:rFonts w:eastAsia="Times New Roman"/>
                <w:color w:val="000000"/>
              </w:rPr>
              <w:t>-3.36%</w:t>
            </w:r>
          </w:p>
        </w:tc>
      </w:tr>
    </w:tbl>
    <w:p w14:paraId="59C976A2" w14:textId="77777777" w:rsidR="00ED0E0F" w:rsidRPr="00ED0E0F" w:rsidRDefault="00ED0E0F" w:rsidP="00ED0E0F">
      <w:pPr>
        <w:rPr>
          <w:b/>
        </w:rPr>
      </w:pPr>
    </w:p>
    <w:p w14:paraId="20D909A2" w14:textId="77777777" w:rsidR="00ED0E0F" w:rsidRPr="00ED0E0F" w:rsidRDefault="00ED0E0F" w:rsidP="00ED0E0F">
      <w:pPr>
        <w:rPr>
          <w:b/>
        </w:rPr>
      </w:pPr>
    </w:p>
    <w:p w14:paraId="41534B17" w14:textId="77777777" w:rsidR="00ED0E0F" w:rsidRPr="00ED0E0F" w:rsidRDefault="00ED0E0F" w:rsidP="00ED0E0F">
      <w:r w:rsidRPr="00ED0E0F">
        <w:t xml:space="preserve">Stevens County’s population has decline 6.0% since 1980 and 3.36%since 2000. In contrast, the population of Morris increased by 4.12% from 2000-2010. </w:t>
      </w:r>
    </w:p>
    <w:p w14:paraId="337496E2" w14:textId="77777777" w:rsidR="00ED0E0F" w:rsidRPr="00ED0E0F" w:rsidRDefault="00ED0E0F" w:rsidP="00ED0E0F">
      <w:pPr>
        <w:rPr>
          <w:b/>
        </w:rPr>
      </w:pPr>
    </w:p>
    <w:p w14:paraId="1ACD3AAA" w14:textId="77777777" w:rsidR="00ED0E0F" w:rsidRPr="00ED0E0F" w:rsidRDefault="00ED0E0F" w:rsidP="00ED0E0F">
      <w:pPr>
        <w:rPr>
          <w:b/>
        </w:rPr>
      </w:pPr>
    </w:p>
    <w:p w14:paraId="4E504813" w14:textId="77777777" w:rsidR="00ED0E0F" w:rsidRPr="00ED0E0F" w:rsidRDefault="00ED0E0F" w:rsidP="00ED0E0F">
      <w:pPr>
        <w:rPr>
          <w:b/>
        </w:rPr>
      </w:pPr>
    </w:p>
    <w:p w14:paraId="78E9E335" w14:textId="77777777" w:rsidR="00ED0E0F" w:rsidRPr="00ED0E0F" w:rsidRDefault="00ED0E0F" w:rsidP="00ED0E0F">
      <w:pPr>
        <w:rPr>
          <w:b/>
        </w:rPr>
      </w:pPr>
    </w:p>
    <w:p w14:paraId="3FBE4E15" w14:textId="77777777" w:rsidR="00ED0E0F" w:rsidRPr="00ED0E0F" w:rsidRDefault="00ED0E0F" w:rsidP="00ED0E0F">
      <w:pPr>
        <w:rPr>
          <w:b/>
        </w:rPr>
      </w:pPr>
    </w:p>
    <w:p w14:paraId="02C64FC7" w14:textId="77777777" w:rsidR="00ED0E0F" w:rsidRPr="00ED0E0F" w:rsidRDefault="00ED0E0F" w:rsidP="00ED0E0F">
      <w:pPr>
        <w:rPr>
          <w:b/>
        </w:rPr>
      </w:pPr>
    </w:p>
    <w:tbl>
      <w:tblPr>
        <w:tblW w:w="9111" w:type="dxa"/>
        <w:tblInd w:w="93" w:type="dxa"/>
        <w:tblLook w:val="04A0" w:firstRow="1" w:lastRow="0" w:firstColumn="1" w:lastColumn="0" w:noHBand="0" w:noVBand="1"/>
      </w:tblPr>
      <w:tblGrid>
        <w:gridCol w:w="1670"/>
        <w:gridCol w:w="1232"/>
        <w:gridCol w:w="1746"/>
        <w:gridCol w:w="1232"/>
        <w:gridCol w:w="1746"/>
        <w:gridCol w:w="1485"/>
      </w:tblGrid>
      <w:tr w:rsidR="00ED0E0F" w:rsidRPr="00ED0E0F" w14:paraId="032E0842" w14:textId="77777777" w:rsidTr="00F16F2C">
        <w:trPr>
          <w:trHeight w:val="303"/>
        </w:trPr>
        <w:tc>
          <w:tcPr>
            <w:tcW w:w="1670" w:type="dxa"/>
            <w:tcBorders>
              <w:top w:val="nil"/>
              <w:left w:val="nil"/>
              <w:bottom w:val="nil"/>
              <w:right w:val="nil"/>
            </w:tcBorders>
            <w:shd w:val="clear" w:color="auto" w:fill="auto"/>
            <w:noWrap/>
            <w:vAlign w:val="bottom"/>
            <w:hideMark/>
          </w:tcPr>
          <w:p w14:paraId="0CEF3819" w14:textId="77777777" w:rsidR="00ED0E0F" w:rsidRPr="00ED0E0F" w:rsidRDefault="00ED0E0F" w:rsidP="00F16F2C">
            <w:pPr>
              <w:rPr>
                <w:rFonts w:eastAsia="Times New Roman"/>
                <w:color w:val="000000"/>
              </w:rPr>
            </w:pPr>
          </w:p>
        </w:tc>
        <w:tc>
          <w:tcPr>
            <w:tcW w:w="1232" w:type="dxa"/>
            <w:tcBorders>
              <w:top w:val="nil"/>
              <w:left w:val="nil"/>
              <w:bottom w:val="nil"/>
              <w:right w:val="nil"/>
            </w:tcBorders>
            <w:shd w:val="clear" w:color="auto" w:fill="auto"/>
            <w:noWrap/>
            <w:vAlign w:val="bottom"/>
            <w:hideMark/>
          </w:tcPr>
          <w:p w14:paraId="5047D067" w14:textId="77777777" w:rsidR="00ED0E0F" w:rsidRPr="00ED0E0F" w:rsidRDefault="00ED0E0F" w:rsidP="00F16F2C">
            <w:pPr>
              <w:rPr>
                <w:rFonts w:eastAsia="Times New Roman"/>
                <w:color w:val="000000"/>
              </w:rPr>
            </w:pPr>
          </w:p>
        </w:tc>
        <w:tc>
          <w:tcPr>
            <w:tcW w:w="1746" w:type="dxa"/>
            <w:tcBorders>
              <w:top w:val="nil"/>
              <w:left w:val="nil"/>
              <w:bottom w:val="nil"/>
              <w:right w:val="nil"/>
            </w:tcBorders>
            <w:shd w:val="clear" w:color="auto" w:fill="auto"/>
            <w:noWrap/>
            <w:vAlign w:val="center"/>
            <w:hideMark/>
          </w:tcPr>
          <w:p w14:paraId="6E12EE86" w14:textId="77777777" w:rsidR="00ED0E0F" w:rsidRPr="00ED0E0F" w:rsidRDefault="00ED0E0F" w:rsidP="00F16F2C">
            <w:pPr>
              <w:jc w:val="center"/>
              <w:rPr>
                <w:rFonts w:eastAsia="Times New Roman"/>
                <w:b/>
                <w:bCs/>
                <w:color w:val="000000"/>
              </w:rPr>
            </w:pPr>
          </w:p>
          <w:p w14:paraId="675589E8" w14:textId="77777777" w:rsidR="00ED0E0F" w:rsidRPr="00ED0E0F" w:rsidRDefault="00ED0E0F" w:rsidP="00F16F2C">
            <w:pPr>
              <w:jc w:val="center"/>
              <w:rPr>
                <w:rFonts w:eastAsia="Times New Roman"/>
                <w:b/>
                <w:bCs/>
                <w:color w:val="000000"/>
              </w:rPr>
            </w:pPr>
          </w:p>
          <w:p w14:paraId="5798739A" w14:textId="77777777" w:rsidR="00ED0E0F" w:rsidRPr="00ED0E0F" w:rsidRDefault="00ED0E0F" w:rsidP="00F16F2C">
            <w:pPr>
              <w:jc w:val="center"/>
              <w:rPr>
                <w:rFonts w:eastAsia="Times New Roman"/>
                <w:b/>
                <w:bCs/>
                <w:color w:val="000000"/>
              </w:rPr>
            </w:pPr>
          </w:p>
          <w:p w14:paraId="0E97D17C" w14:textId="77777777" w:rsidR="00ED0E0F" w:rsidRPr="00ED0E0F" w:rsidRDefault="00ED0E0F" w:rsidP="00F16F2C">
            <w:pPr>
              <w:jc w:val="center"/>
              <w:rPr>
                <w:rFonts w:eastAsia="Times New Roman"/>
                <w:b/>
                <w:bCs/>
                <w:color w:val="000000"/>
              </w:rPr>
            </w:pPr>
          </w:p>
          <w:p w14:paraId="47F2F08F" w14:textId="77777777" w:rsidR="00ED0E0F" w:rsidRDefault="00ED0E0F" w:rsidP="00F16F2C">
            <w:pPr>
              <w:jc w:val="center"/>
              <w:rPr>
                <w:rFonts w:eastAsia="Times New Roman"/>
                <w:b/>
                <w:bCs/>
                <w:color w:val="000000"/>
              </w:rPr>
            </w:pPr>
          </w:p>
          <w:p w14:paraId="4E0366B4" w14:textId="77777777" w:rsidR="00ED0E0F" w:rsidRDefault="00ED0E0F" w:rsidP="00F16F2C">
            <w:pPr>
              <w:jc w:val="center"/>
              <w:rPr>
                <w:rFonts w:eastAsia="Times New Roman"/>
                <w:b/>
                <w:bCs/>
                <w:color w:val="000000"/>
              </w:rPr>
            </w:pPr>
          </w:p>
          <w:p w14:paraId="714C4328" w14:textId="77777777" w:rsidR="00ED0E0F" w:rsidRPr="00ED0E0F" w:rsidRDefault="00ED0E0F" w:rsidP="00F16F2C">
            <w:pPr>
              <w:jc w:val="center"/>
              <w:rPr>
                <w:rFonts w:eastAsia="Times New Roman"/>
                <w:b/>
                <w:bCs/>
                <w:color w:val="000000"/>
              </w:rPr>
            </w:pPr>
            <w:r w:rsidRPr="00ED0E0F">
              <w:rPr>
                <w:rFonts w:eastAsia="Times New Roman"/>
                <w:b/>
                <w:bCs/>
                <w:color w:val="000000"/>
              </w:rPr>
              <w:t>Table 6 Morris Population Breakdown 2000-2010</w:t>
            </w:r>
          </w:p>
        </w:tc>
        <w:tc>
          <w:tcPr>
            <w:tcW w:w="1232" w:type="dxa"/>
            <w:tcBorders>
              <w:top w:val="nil"/>
              <w:left w:val="nil"/>
              <w:bottom w:val="nil"/>
              <w:right w:val="nil"/>
            </w:tcBorders>
            <w:shd w:val="clear" w:color="auto" w:fill="auto"/>
            <w:noWrap/>
            <w:vAlign w:val="bottom"/>
            <w:hideMark/>
          </w:tcPr>
          <w:p w14:paraId="15B94FD1" w14:textId="77777777" w:rsidR="00ED0E0F" w:rsidRPr="00ED0E0F" w:rsidRDefault="00ED0E0F" w:rsidP="00F16F2C">
            <w:pPr>
              <w:rPr>
                <w:rFonts w:eastAsia="Times New Roman"/>
                <w:color w:val="000000"/>
              </w:rPr>
            </w:pPr>
          </w:p>
        </w:tc>
        <w:tc>
          <w:tcPr>
            <w:tcW w:w="1746" w:type="dxa"/>
            <w:tcBorders>
              <w:top w:val="nil"/>
              <w:left w:val="nil"/>
              <w:bottom w:val="nil"/>
              <w:right w:val="nil"/>
            </w:tcBorders>
            <w:shd w:val="clear" w:color="auto" w:fill="auto"/>
            <w:noWrap/>
            <w:vAlign w:val="bottom"/>
            <w:hideMark/>
          </w:tcPr>
          <w:p w14:paraId="0137C931" w14:textId="77777777" w:rsidR="00ED0E0F" w:rsidRPr="00ED0E0F" w:rsidRDefault="00ED0E0F" w:rsidP="00F16F2C">
            <w:pPr>
              <w:rPr>
                <w:rFonts w:eastAsia="Times New Roman"/>
                <w:color w:val="000000"/>
              </w:rPr>
            </w:pPr>
          </w:p>
        </w:tc>
        <w:tc>
          <w:tcPr>
            <w:tcW w:w="1485" w:type="dxa"/>
            <w:tcBorders>
              <w:top w:val="nil"/>
              <w:left w:val="nil"/>
              <w:bottom w:val="nil"/>
              <w:right w:val="nil"/>
            </w:tcBorders>
            <w:shd w:val="clear" w:color="auto" w:fill="auto"/>
            <w:noWrap/>
            <w:vAlign w:val="bottom"/>
            <w:hideMark/>
          </w:tcPr>
          <w:p w14:paraId="542DFC1F" w14:textId="77777777" w:rsidR="00ED0E0F" w:rsidRPr="00ED0E0F" w:rsidRDefault="00ED0E0F" w:rsidP="00F16F2C">
            <w:pPr>
              <w:rPr>
                <w:rFonts w:eastAsia="Times New Roman"/>
                <w:color w:val="000000"/>
              </w:rPr>
            </w:pPr>
          </w:p>
        </w:tc>
      </w:tr>
      <w:tr w:rsidR="00ED0E0F" w:rsidRPr="00ED0E0F" w14:paraId="5A9E28F8" w14:textId="77777777" w:rsidTr="00F16F2C">
        <w:trPr>
          <w:trHeight w:val="303"/>
        </w:trPr>
        <w:tc>
          <w:tcPr>
            <w:tcW w:w="1670" w:type="dxa"/>
            <w:tcBorders>
              <w:top w:val="nil"/>
              <w:left w:val="nil"/>
              <w:bottom w:val="nil"/>
              <w:right w:val="nil"/>
            </w:tcBorders>
            <w:shd w:val="clear" w:color="auto" w:fill="auto"/>
            <w:noWrap/>
            <w:vAlign w:val="bottom"/>
            <w:hideMark/>
          </w:tcPr>
          <w:p w14:paraId="17FF8680" w14:textId="77777777" w:rsidR="00ED0E0F" w:rsidRPr="00ED0E0F" w:rsidRDefault="00ED0E0F" w:rsidP="00F16F2C">
            <w:pPr>
              <w:rPr>
                <w:rFonts w:eastAsia="Times New Roman"/>
                <w:color w:val="000000"/>
                <w:u w:val="single"/>
              </w:rPr>
            </w:pPr>
            <w:r w:rsidRPr="00ED0E0F">
              <w:rPr>
                <w:rFonts w:eastAsia="Times New Roman"/>
                <w:color w:val="000000"/>
                <w:u w:val="single"/>
              </w:rPr>
              <w:t>Age Cohort</w:t>
            </w:r>
          </w:p>
        </w:tc>
        <w:tc>
          <w:tcPr>
            <w:tcW w:w="1232" w:type="dxa"/>
            <w:tcBorders>
              <w:top w:val="nil"/>
              <w:left w:val="nil"/>
              <w:bottom w:val="nil"/>
              <w:right w:val="nil"/>
            </w:tcBorders>
            <w:shd w:val="clear" w:color="auto" w:fill="auto"/>
            <w:noWrap/>
            <w:vAlign w:val="bottom"/>
            <w:hideMark/>
          </w:tcPr>
          <w:p w14:paraId="40D78AA9" w14:textId="77777777" w:rsidR="00ED0E0F" w:rsidRPr="00ED0E0F" w:rsidRDefault="00ED0E0F" w:rsidP="00F16F2C">
            <w:pPr>
              <w:jc w:val="center"/>
              <w:rPr>
                <w:rFonts w:eastAsia="Times New Roman"/>
                <w:color w:val="000000"/>
                <w:u w:val="single"/>
              </w:rPr>
            </w:pPr>
            <w:r w:rsidRPr="00ED0E0F">
              <w:rPr>
                <w:rFonts w:eastAsia="Times New Roman"/>
                <w:color w:val="000000"/>
                <w:u w:val="single"/>
              </w:rPr>
              <w:t>2000</w:t>
            </w:r>
          </w:p>
        </w:tc>
        <w:tc>
          <w:tcPr>
            <w:tcW w:w="1746" w:type="dxa"/>
            <w:tcBorders>
              <w:top w:val="nil"/>
              <w:left w:val="nil"/>
              <w:bottom w:val="nil"/>
              <w:right w:val="nil"/>
            </w:tcBorders>
            <w:shd w:val="clear" w:color="auto" w:fill="auto"/>
            <w:noWrap/>
            <w:vAlign w:val="bottom"/>
            <w:hideMark/>
          </w:tcPr>
          <w:p w14:paraId="27EF3BAE" w14:textId="77777777" w:rsidR="00ED0E0F" w:rsidRPr="00ED0E0F" w:rsidRDefault="00ED0E0F" w:rsidP="00F16F2C">
            <w:pPr>
              <w:jc w:val="center"/>
              <w:rPr>
                <w:rFonts w:eastAsia="Times New Roman"/>
                <w:color w:val="000000"/>
                <w:u w:val="single"/>
              </w:rPr>
            </w:pPr>
          </w:p>
          <w:p w14:paraId="1FD1443A" w14:textId="77777777" w:rsidR="00ED0E0F" w:rsidRPr="00ED0E0F" w:rsidRDefault="00ED0E0F" w:rsidP="00F16F2C">
            <w:pPr>
              <w:jc w:val="center"/>
              <w:rPr>
                <w:rFonts w:eastAsia="Times New Roman"/>
                <w:color w:val="000000"/>
                <w:u w:val="single"/>
              </w:rPr>
            </w:pPr>
            <w:r w:rsidRPr="00ED0E0F">
              <w:rPr>
                <w:rFonts w:eastAsia="Times New Roman"/>
                <w:color w:val="000000"/>
                <w:u w:val="single"/>
              </w:rPr>
              <w:t>% Share 2000 Pop.</w:t>
            </w:r>
          </w:p>
        </w:tc>
        <w:tc>
          <w:tcPr>
            <w:tcW w:w="1232" w:type="dxa"/>
            <w:tcBorders>
              <w:top w:val="nil"/>
              <w:left w:val="nil"/>
              <w:bottom w:val="nil"/>
              <w:right w:val="nil"/>
            </w:tcBorders>
            <w:shd w:val="clear" w:color="auto" w:fill="auto"/>
            <w:noWrap/>
            <w:vAlign w:val="bottom"/>
            <w:hideMark/>
          </w:tcPr>
          <w:p w14:paraId="3A331985" w14:textId="77777777" w:rsidR="00ED0E0F" w:rsidRPr="00ED0E0F" w:rsidRDefault="00ED0E0F" w:rsidP="00F16F2C">
            <w:pPr>
              <w:jc w:val="center"/>
              <w:rPr>
                <w:rFonts w:eastAsia="Times New Roman"/>
                <w:color w:val="000000"/>
                <w:u w:val="single"/>
              </w:rPr>
            </w:pPr>
            <w:r w:rsidRPr="00ED0E0F">
              <w:rPr>
                <w:rFonts w:eastAsia="Times New Roman"/>
                <w:color w:val="000000"/>
                <w:u w:val="single"/>
              </w:rPr>
              <w:t>2010</w:t>
            </w:r>
          </w:p>
        </w:tc>
        <w:tc>
          <w:tcPr>
            <w:tcW w:w="1746" w:type="dxa"/>
            <w:tcBorders>
              <w:top w:val="nil"/>
              <w:left w:val="nil"/>
              <w:bottom w:val="nil"/>
              <w:right w:val="nil"/>
            </w:tcBorders>
            <w:shd w:val="clear" w:color="auto" w:fill="auto"/>
            <w:noWrap/>
            <w:vAlign w:val="bottom"/>
            <w:hideMark/>
          </w:tcPr>
          <w:p w14:paraId="5566E2D9" w14:textId="77777777" w:rsidR="00ED0E0F" w:rsidRPr="00ED0E0F" w:rsidRDefault="00ED0E0F" w:rsidP="00F16F2C">
            <w:pPr>
              <w:jc w:val="center"/>
              <w:rPr>
                <w:rFonts w:eastAsia="Times New Roman"/>
                <w:color w:val="000000"/>
                <w:u w:val="single"/>
              </w:rPr>
            </w:pPr>
            <w:r w:rsidRPr="00ED0E0F">
              <w:rPr>
                <w:rFonts w:eastAsia="Times New Roman"/>
                <w:color w:val="000000"/>
                <w:u w:val="single"/>
              </w:rPr>
              <w:t>% Share 2010 Pop.</w:t>
            </w:r>
          </w:p>
        </w:tc>
        <w:tc>
          <w:tcPr>
            <w:tcW w:w="1485" w:type="dxa"/>
            <w:tcBorders>
              <w:top w:val="nil"/>
              <w:left w:val="nil"/>
              <w:bottom w:val="nil"/>
              <w:right w:val="nil"/>
            </w:tcBorders>
            <w:shd w:val="clear" w:color="auto" w:fill="auto"/>
            <w:noWrap/>
            <w:vAlign w:val="bottom"/>
            <w:hideMark/>
          </w:tcPr>
          <w:p w14:paraId="67198F5F" w14:textId="77777777" w:rsidR="00ED0E0F" w:rsidRPr="00ED0E0F" w:rsidRDefault="00ED0E0F" w:rsidP="00F16F2C">
            <w:pPr>
              <w:jc w:val="center"/>
              <w:rPr>
                <w:rFonts w:eastAsia="Times New Roman"/>
                <w:color w:val="000000"/>
                <w:u w:val="single"/>
              </w:rPr>
            </w:pPr>
            <w:r w:rsidRPr="00ED0E0F">
              <w:rPr>
                <w:rFonts w:eastAsia="Times New Roman"/>
                <w:color w:val="000000"/>
                <w:u w:val="single"/>
              </w:rPr>
              <w:t>Percent Change</w:t>
            </w:r>
          </w:p>
        </w:tc>
      </w:tr>
      <w:tr w:rsidR="00ED0E0F" w:rsidRPr="00ED0E0F" w14:paraId="404C7B4D" w14:textId="77777777" w:rsidTr="00F16F2C">
        <w:trPr>
          <w:trHeight w:val="303"/>
        </w:trPr>
        <w:tc>
          <w:tcPr>
            <w:tcW w:w="1670" w:type="dxa"/>
            <w:tcBorders>
              <w:top w:val="nil"/>
              <w:left w:val="nil"/>
              <w:bottom w:val="nil"/>
              <w:right w:val="nil"/>
            </w:tcBorders>
            <w:shd w:val="clear" w:color="auto" w:fill="auto"/>
            <w:noWrap/>
            <w:vAlign w:val="bottom"/>
            <w:hideMark/>
          </w:tcPr>
          <w:p w14:paraId="00969CCC" w14:textId="77777777" w:rsidR="00ED0E0F" w:rsidRPr="00ED0E0F" w:rsidRDefault="00ED0E0F" w:rsidP="00F16F2C">
            <w:pPr>
              <w:rPr>
                <w:rFonts w:eastAsia="Times New Roman"/>
                <w:color w:val="000000"/>
              </w:rPr>
            </w:pPr>
            <w:r w:rsidRPr="00ED0E0F">
              <w:rPr>
                <w:rFonts w:eastAsia="Times New Roman"/>
                <w:color w:val="000000"/>
              </w:rPr>
              <w:t>Under 5 years</w:t>
            </w:r>
          </w:p>
        </w:tc>
        <w:tc>
          <w:tcPr>
            <w:tcW w:w="1232" w:type="dxa"/>
            <w:tcBorders>
              <w:top w:val="nil"/>
              <w:left w:val="nil"/>
              <w:bottom w:val="nil"/>
              <w:right w:val="nil"/>
            </w:tcBorders>
            <w:shd w:val="clear" w:color="auto" w:fill="auto"/>
            <w:noWrap/>
            <w:vAlign w:val="bottom"/>
            <w:hideMark/>
          </w:tcPr>
          <w:p w14:paraId="2D09E466" w14:textId="77777777" w:rsidR="00ED0E0F" w:rsidRPr="00ED0E0F" w:rsidRDefault="00ED0E0F" w:rsidP="00F16F2C">
            <w:pPr>
              <w:jc w:val="center"/>
              <w:rPr>
                <w:rFonts w:eastAsia="Times New Roman"/>
                <w:color w:val="000000"/>
              </w:rPr>
            </w:pPr>
            <w:r w:rsidRPr="00ED0E0F">
              <w:rPr>
                <w:rFonts w:eastAsia="Times New Roman"/>
                <w:color w:val="000000"/>
              </w:rPr>
              <w:t>227</w:t>
            </w:r>
          </w:p>
        </w:tc>
        <w:tc>
          <w:tcPr>
            <w:tcW w:w="1746" w:type="dxa"/>
            <w:tcBorders>
              <w:top w:val="nil"/>
              <w:left w:val="nil"/>
              <w:bottom w:val="nil"/>
              <w:right w:val="nil"/>
            </w:tcBorders>
            <w:shd w:val="clear" w:color="auto" w:fill="auto"/>
            <w:noWrap/>
            <w:vAlign w:val="bottom"/>
            <w:hideMark/>
          </w:tcPr>
          <w:p w14:paraId="6F8BEFED" w14:textId="77777777" w:rsidR="00ED0E0F" w:rsidRPr="00ED0E0F" w:rsidRDefault="00ED0E0F" w:rsidP="00F16F2C">
            <w:pPr>
              <w:jc w:val="center"/>
              <w:rPr>
                <w:rFonts w:eastAsia="Times New Roman"/>
                <w:color w:val="000000"/>
              </w:rPr>
            </w:pPr>
            <w:r w:rsidRPr="00ED0E0F">
              <w:rPr>
                <w:rFonts w:eastAsia="Times New Roman"/>
                <w:color w:val="000000"/>
              </w:rPr>
              <w:t>4.5%</w:t>
            </w:r>
          </w:p>
        </w:tc>
        <w:tc>
          <w:tcPr>
            <w:tcW w:w="1232" w:type="dxa"/>
            <w:tcBorders>
              <w:top w:val="nil"/>
              <w:left w:val="nil"/>
              <w:bottom w:val="nil"/>
              <w:right w:val="nil"/>
            </w:tcBorders>
            <w:shd w:val="clear" w:color="auto" w:fill="auto"/>
            <w:noWrap/>
            <w:vAlign w:val="bottom"/>
            <w:hideMark/>
          </w:tcPr>
          <w:p w14:paraId="66803864" w14:textId="77777777" w:rsidR="00ED0E0F" w:rsidRPr="00ED0E0F" w:rsidRDefault="00ED0E0F" w:rsidP="00F16F2C">
            <w:pPr>
              <w:jc w:val="center"/>
              <w:rPr>
                <w:rFonts w:eastAsia="Times New Roman"/>
                <w:color w:val="000000"/>
              </w:rPr>
            </w:pPr>
            <w:r w:rsidRPr="00ED0E0F">
              <w:rPr>
                <w:rFonts w:eastAsia="Times New Roman"/>
                <w:color w:val="000000"/>
              </w:rPr>
              <w:t>304</w:t>
            </w:r>
          </w:p>
        </w:tc>
        <w:tc>
          <w:tcPr>
            <w:tcW w:w="1746" w:type="dxa"/>
            <w:tcBorders>
              <w:top w:val="nil"/>
              <w:left w:val="nil"/>
              <w:bottom w:val="nil"/>
              <w:right w:val="nil"/>
            </w:tcBorders>
            <w:shd w:val="clear" w:color="auto" w:fill="auto"/>
            <w:noWrap/>
            <w:vAlign w:val="bottom"/>
            <w:hideMark/>
          </w:tcPr>
          <w:p w14:paraId="60003C1A" w14:textId="77777777" w:rsidR="00ED0E0F" w:rsidRPr="00ED0E0F" w:rsidRDefault="00ED0E0F" w:rsidP="00F16F2C">
            <w:pPr>
              <w:jc w:val="center"/>
              <w:rPr>
                <w:rFonts w:eastAsia="Times New Roman"/>
                <w:color w:val="000000"/>
              </w:rPr>
            </w:pPr>
            <w:r w:rsidRPr="00ED0E0F">
              <w:rPr>
                <w:rFonts w:eastAsia="Times New Roman"/>
                <w:color w:val="000000"/>
              </w:rPr>
              <w:t>5.8%</w:t>
            </w:r>
          </w:p>
        </w:tc>
        <w:tc>
          <w:tcPr>
            <w:tcW w:w="1485" w:type="dxa"/>
            <w:tcBorders>
              <w:top w:val="nil"/>
              <w:left w:val="nil"/>
              <w:bottom w:val="nil"/>
              <w:right w:val="nil"/>
            </w:tcBorders>
            <w:shd w:val="clear" w:color="auto" w:fill="auto"/>
            <w:noWrap/>
            <w:vAlign w:val="bottom"/>
            <w:hideMark/>
          </w:tcPr>
          <w:p w14:paraId="040EA13E" w14:textId="77777777" w:rsidR="00ED0E0F" w:rsidRPr="00ED0E0F" w:rsidRDefault="00ED0E0F" w:rsidP="00F16F2C">
            <w:pPr>
              <w:jc w:val="center"/>
              <w:rPr>
                <w:rFonts w:eastAsia="Times New Roman"/>
                <w:color w:val="000000"/>
              </w:rPr>
            </w:pPr>
            <w:r w:rsidRPr="00ED0E0F">
              <w:rPr>
                <w:rFonts w:eastAsia="Times New Roman"/>
                <w:color w:val="000000"/>
              </w:rPr>
              <w:t>25%</w:t>
            </w:r>
          </w:p>
        </w:tc>
      </w:tr>
      <w:tr w:rsidR="00ED0E0F" w:rsidRPr="00ED0E0F" w14:paraId="6669F819" w14:textId="77777777" w:rsidTr="00F16F2C">
        <w:trPr>
          <w:trHeight w:val="303"/>
        </w:trPr>
        <w:tc>
          <w:tcPr>
            <w:tcW w:w="1670" w:type="dxa"/>
            <w:tcBorders>
              <w:top w:val="nil"/>
              <w:left w:val="nil"/>
              <w:bottom w:val="nil"/>
              <w:right w:val="nil"/>
            </w:tcBorders>
            <w:shd w:val="clear" w:color="auto" w:fill="auto"/>
            <w:noWrap/>
            <w:vAlign w:val="bottom"/>
            <w:hideMark/>
          </w:tcPr>
          <w:p w14:paraId="51230027" w14:textId="77777777" w:rsidR="00ED0E0F" w:rsidRPr="00ED0E0F" w:rsidRDefault="00ED0E0F" w:rsidP="00F16F2C">
            <w:pPr>
              <w:rPr>
                <w:rFonts w:eastAsia="Times New Roman"/>
                <w:color w:val="000000"/>
              </w:rPr>
            </w:pPr>
            <w:r w:rsidRPr="00ED0E0F">
              <w:rPr>
                <w:rFonts w:eastAsia="Times New Roman"/>
                <w:color w:val="000000"/>
              </w:rPr>
              <w:t>5 to 9 years</w:t>
            </w:r>
          </w:p>
        </w:tc>
        <w:tc>
          <w:tcPr>
            <w:tcW w:w="1232" w:type="dxa"/>
            <w:tcBorders>
              <w:top w:val="nil"/>
              <w:left w:val="nil"/>
              <w:bottom w:val="nil"/>
              <w:right w:val="nil"/>
            </w:tcBorders>
            <w:shd w:val="clear" w:color="auto" w:fill="auto"/>
            <w:noWrap/>
            <w:vAlign w:val="bottom"/>
            <w:hideMark/>
          </w:tcPr>
          <w:p w14:paraId="46C9C770" w14:textId="77777777" w:rsidR="00ED0E0F" w:rsidRPr="00ED0E0F" w:rsidRDefault="00ED0E0F" w:rsidP="00F16F2C">
            <w:pPr>
              <w:jc w:val="center"/>
              <w:rPr>
                <w:rFonts w:eastAsia="Times New Roman"/>
                <w:color w:val="000000"/>
              </w:rPr>
            </w:pPr>
            <w:r w:rsidRPr="00ED0E0F">
              <w:rPr>
                <w:rFonts w:eastAsia="Times New Roman"/>
                <w:color w:val="000000"/>
              </w:rPr>
              <w:t>212</w:t>
            </w:r>
          </w:p>
        </w:tc>
        <w:tc>
          <w:tcPr>
            <w:tcW w:w="1746" w:type="dxa"/>
            <w:tcBorders>
              <w:top w:val="nil"/>
              <w:left w:val="nil"/>
              <w:bottom w:val="nil"/>
              <w:right w:val="nil"/>
            </w:tcBorders>
            <w:shd w:val="clear" w:color="auto" w:fill="auto"/>
            <w:noWrap/>
            <w:vAlign w:val="bottom"/>
            <w:hideMark/>
          </w:tcPr>
          <w:p w14:paraId="45F4E369" w14:textId="77777777" w:rsidR="00ED0E0F" w:rsidRPr="00ED0E0F" w:rsidRDefault="00ED0E0F" w:rsidP="00F16F2C">
            <w:pPr>
              <w:jc w:val="center"/>
              <w:rPr>
                <w:rFonts w:eastAsia="Times New Roman"/>
                <w:color w:val="000000"/>
              </w:rPr>
            </w:pPr>
            <w:r w:rsidRPr="00ED0E0F">
              <w:rPr>
                <w:rFonts w:eastAsia="Times New Roman"/>
                <w:color w:val="000000"/>
              </w:rPr>
              <w:t>4.2%</w:t>
            </w:r>
          </w:p>
        </w:tc>
        <w:tc>
          <w:tcPr>
            <w:tcW w:w="1232" w:type="dxa"/>
            <w:tcBorders>
              <w:top w:val="nil"/>
              <w:left w:val="nil"/>
              <w:bottom w:val="nil"/>
              <w:right w:val="nil"/>
            </w:tcBorders>
            <w:shd w:val="clear" w:color="auto" w:fill="auto"/>
            <w:noWrap/>
            <w:vAlign w:val="bottom"/>
            <w:hideMark/>
          </w:tcPr>
          <w:p w14:paraId="5EC5172C" w14:textId="77777777" w:rsidR="00ED0E0F" w:rsidRPr="00ED0E0F" w:rsidRDefault="00ED0E0F" w:rsidP="00F16F2C">
            <w:pPr>
              <w:jc w:val="center"/>
              <w:rPr>
                <w:rFonts w:eastAsia="Times New Roman"/>
                <w:color w:val="000000"/>
              </w:rPr>
            </w:pPr>
            <w:r w:rsidRPr="00ED0E0F">
              <w:rPr>
                <w:rFonts w:eastAsia="Times New Roman"/>
                <w:color w:val="000000"/>
              </w:rPr>
              <w:t>252</w:t>
            </w:r>
          </w:p>
        </w:tc>
        <w:tc>
          <w:tcPr>
            <w:tcW w:w="1746" w:type="dxa"/>
            <w:tcBorders>
              <w:top w:val="nil"/>
              <w:left w:val="nil"/>
              <w:bottom w:val="nil"/>
              <w:right w:val="nil"/>
            </w:tcBorders>
            <w:shd w:val="clear" w:color="auto" w:fill="auto"/>
            <w:noWrap/>
            <w:vAlign w:val="bottom"/>
            <w:hideMark/>
          </w:tcPr>
          <w:p w14:paraId="4A16DFA1" w14:textId="77777777" w:rsidR="00ED0E0F" w:rsidRPr="00ED0E0F" w:rsidRDefault="00ED0E0F" w:rsidP="00F16F2C">
            <w:pPr>
              <w:jc w:val="center"/>
              <w:rPr>
                <w:rFonts w:eastAsia="Times New Roman"/>
                <w:color w:val="000000"/>
              </w:rPr>
            </w:pPr>
            <w:r w:rsidRPr="00ED0E0F">
              <w:rPr>
                <w:rFonts w:eastAsia="Times New Roman"/>
                <w:color w:val="000000"/>
              </w:rPr>
              <w:t>4.8%</w:t>
            </w:r>
          </w:p>
        </w:tc>
        <w:tc>
          <w:tcPr>
            <w:tcW w:w="1485" w:type="dxa"/>
            <w:tcBorders>
              <w:top w:val="nil"/>
              <w:left w:val="nil"/>
              <w:bottom w:val="nil"/>
              <w:right w:val="nil"/>
            </w:tcBorders>
            <w:shd w:val="clear" w:color="auto" w:fill="auto"/>
            <w:noWrap/>
            <w:vAlign w:val="bottom"/>
            <w:hideMark/>
          </w:tcPr>
          <w:p w14:paraId="6A8E0BDC" w14:textId="77777777" w:rsidR="00ED0E0F" w:rsidRPr="00ED0E0F" w:rsidRDefault="00ED0E0F" w:rsidP="00F16F2C">
            <w:pPr>
              <w:jc w:val="center"/>
              <w:rPr>
                <w:rFonts w:eastAsia="Times New Roman"/>
                <w:color w:val="000000"/>
              </w:rPr>
            </w:pPr>
            <w:r w:rsidRPr="00ED0E0F">
              <w:rPr>
                <w:rFonts w:eastAsia="Times New Roman"/>
                <w:color w:val="000000"/>
              </w:rPr>
              <w:t>16%</w:t>
            </w:r>
          </w:p>
        </w:tc>
      </w:tr>
      <w:tr w:rsidR="00ED0E0F" w:rsidRPr="00ED0E0F" w14:paraId="73B01B07" w14:textId="77777777" w:rsidTr="00F16F2C">
        <w:trPr>
          <w:trHeight w:val="303"/>
        </w:trPr>
        <w:tc>
          <w:tcPr>
            <w:tcW w:w="1670" w:type="dxa"/>
            <w:tcBorders>
              <w:top w:val="nil"/>
              <w:left w:val="nil"/>
              <w:bottom w:val="nil"/>
              <w:right w:val="nil"/>
            </w:tcBorders>
            <w:shd w:val="clear" w:color="auto" w:fill="auto"/>
            <w:noWrap/>
            <w:vAlign w:val="bottom"/>
            <w:hideMark/>
          </w:tcPr>
          <w:p w14:paraId="0A5FB69F" w14:textId="77777777" w:rsidR="00ED0E0F" w:rsidRPr="00ED0E0F" w:rsidRDefault="00ED0E0F" w:rsidP="00F16F2C">
            <w:pPr>
              <w:rPr>
                <w:rFonts w:eastAsia="Times New Roman"/>
                <w:color w:val="000000"/>
              </w:rPr>
            </w:pPr>
            <w:r w:rsidRPr="00ED0E0F">
              <w:rPr>
                <w:rFonts w:eastAsia="Times New Roman"/>
                <w:color w:val="000000"/>
              </w:rPr>
              <w:t>10 to 14 years</w:t>
            </w:r>
          </w:p>
        </w:tc>
        <w:tc>
          <w:tcPr>
            <w:tcW w:w="1232" w:type="dxa"/>
            <w:tcBorders>
              <w:top w:val="nil"/>
              <w:left w:val="nil"/>
              <w:bottom w:val="nil"/>
              <w:right w:val="nil"/>
            </w:tcBorders>
            <w:shd w:val="clear" w:color="auto" w:fill="auto"/>
            <w:noWrap/>
            <w:vAlign w:val="bottom"/>
            <w:hideMark/>
          </w:tcPr>
          <w:p w14:paraId="14ED9595" w14:textId="77777777" w:rsidR="00ED0E0F" w:rsidRPr="00ED0E0F" w:rsidRDefault="00ED0E0F" w:rsidP="00F16F2C">
            <w:pPr>
              <w:jc w:val="center"/>
              <w:rPr>
                <w:rFonts w:eastAsia="Times New Roman"/>
                <w:color w:val="000000"/>
              </w:rPr>
            </w:pPr>
            <w:r w:rsidRPr="00ED0E0F">
              <w:rPr>
                <w:rFonts w:eastAsia="Times New Roman"/>
                <w:color w:val="000000"/>
              </w:rPr>
              <w:t>239</w:t>
            </w:r>
          </w:p>
        </w:tc>
        <w:tc>
          <w:tcPr>
            <w:tcW w:w="1746" w:type="dxa"/>
            <w:tcBorders>
              <w:top w:val="nil"/>
              <w:left w:val="nil"/>
              <w:bottom w:val="nil"/>
              <w:right w:val="nil"/>
            </w:tcBorders>
            <w:shd w:val="clear" w:color="auto" w:fill="auto"/>
            <w:noWrap/>
            <w:vAlign w:val="bottom"/>
            <w:hideMark/>
          </w:tcPr>
          <w:p w14:paraId="799021DC" w14:textId="77777777" w:rsidR="00ED0E0F" w:rsidRPr="00ED0E0F" w:rsidRDefault="00ED0E0F" w:rsidP="00F16F2C">
            <w:pPr>
              <w:jc w:val="center"/>
              <w:rPr>
                <w:rFonts w:eastAsia="Times New Roman"/>
                <w:color w:val="000000"/>
              </w:rPr>
            </w:pPr>
            <w:r w:rsidRPr="00ED0E0F">
              <w:rPr>
                <w:rFonts w:eastAsia="Times New Roman"/>
                <w:color w:val="000000"/>
              </w:rPr>
              <w:t>4.7%</w:t>
            </w:r>
          </w:p>
        </w:tc>
        <w:tc>
          <w:tcPr>
            <w:tcW w:w="1232" w:type="dxa"/>
            <w:tcBorders>
              <w:top w:val="nil"/>
              <w:left w:val="nil"/>
              <w:bottom w:val="nil"/>
              <w:right w:val="nil"/>
            </w:tcBorders>
            <w:shd w:val="clear" w:color="auto" w:fill="auto"/>
            <w:noWrap/>
            <w:vAlign w:val="bottom"/>
            <w:hideMark/>
          </w:tcPr>
          <w:p w14:paraId="296FDF9F" w14:textId="77777777" w:rsidR="00ED0E0F" w:rsidRPr="00ED0E0F" w:rsidRDefault="00ED0E0F" w:rsidP="00F16F2C">
            <w:pPr>
              <w:jc w:val="center"/>
              <w:rPr>
                <w:rFonts w:eastAsia="Times New Roman"/>
                <w:color w:val="000000"/>
              </w:rPr>
            </w:pPr>
            <w:r w:rsidRPr="00ED0E0F">
              <w:rPr>
                <w:rFonts w:eastAsia="Times New Roman"/>
                <w:color w:val="000000"/>
              </w:rPr>
              <w:t>241</w:t>
            </w:r>
          </w:p>
        </w:tc>
        <w:tc>
          <w:tcPr>
            <w:tcW w:w="1746" w:type="dxa"/>
            <w:tcBorders>
              <w:top w:val="nil"/>
              <w:left w:val="nil"/>
              <w:bottom w:val="nil"/>
              <w:right w:val="nil"/>
            </w:tcBorders>
            <w:shd w:val="clear" w:color="auto" w:fill="auto"/>
            <w:noWrap/>
            <w:vAlign w:val="bottom"/>
            <w:hideMark/>
          </w:tcPr>
          <w:p w14:paraId="43E2A36A" w14:textId="77777777" w:rsidR="00ED0E0F" w:rsidRPr="00ED0E0F" w:rsidRDefault="00ED0E0F" w:rsidP="00F16F2C">
            <w:pPr>
              <w:jc w:val="center"/>
              <w:rPr>
                <w:rFonts w:eastAsia="Times New Roman"/>
                <w:color w:val="000000"/>
              </w:rPr>
            </w:pPr>
            <w:r w:rsidRPr="00ED0E0F">
              <w:rPr>
                <w:rFonts w:eastAsia="Times New Roman"/>
                <w:color w:val="000000"/>
              </w:rPr>
              <w:t>4.6%</w:t>
            </w:r>
          </w:p>
        </w:tc>
        <w:tc>
          <w:tcPr>
            <w:tcW w:w="1485" w:type="dxa"/>
            <w:tcBorders>
              <w:top w:val="nil"/>
              <w:left w:val="nil"/>
              <w:bottom w:val="nil"/>
              <w:right w:val="nil"/>
            </w:tcBorders>
            <w:shd w:val="clear" w:color="auto" w:fill="auto"/>
            <w:noWrap/>
            <w:vAlign w:val="bottom"/>
            <w:hideMark/>
          </w:tcPr>
          <w:p w14:paraId="68A3EC60" w14:textId="77777777" w:rsidR="00ED0E0F" w:rsidRPr="00ED0E0F" w:rsidRDefault="00ED0E0F" w:rsidP="00F16F2C">
            <w:pPr>
              <w:jc w:val="center"/>
              <w:rPr>
                <w:rFonts w:eastAsia="Times New Roman"/>
                <w:color w:val="000000"/>
              </w:rPr>
            </w:pPr>
            <w:r w:rsidRPr="00ED0E0F">
              <w:rPr>
                <w:rFonts w:eastAsia="Times New Roman"/>
                <w:color w:val="000000"/>
              </w:rPr>
              <w:t>1%</w:t>
            </w:r>
          </w:p>
        </w:tc>
      </w:tr>
      <w:tr w:rsidR="00ED0E0F" w:rsidRPr="00ED0E0F" w14:paraId="4A528772" w14:textId="77777777" w:rsidTr="00F16F2C">
        <w:trPr>
          <w:trHeight w:val="303"/>
        </w:trPr>
        <w:tc>
          <w:tcPr>
            <w:tcW w:w="1670" w:type="dxa"/>
            <w:tcBorders>
              <w:top w:val="nil"/>
              <w:left w:val="nil"/>
              <w:bottom w:val="nil"/>
              <w:right w:val="nil"/>
            </w:tcBorders>
            <w:shd w:val="clear" w:color="auto" w:fill="auto"/>
            <w:noWrap/>
            <w:vAlign w:val="bottom"/>
            <w:hideMark/>
          </w:tcPr>
          <w:p w14:paraId="4609DAEC" w14:textId="77777777" w:rsidR="00ED0E0F" w:rsidRPr="00ED0E0F" w:rsidRDefault="00ED0E0F" w:rsidP="00F16F2C">
            <w:pPr>
              <w:rPr>
                <w:rFonts w:eastAsia="Times New Roman"/>
                <w:color w:val="000000"/>
              </w:rPr>
            </w:pPr>
            <w:r w:rsidRPr="00ED0E0F">
              <w:rPr>
                <w:rFonts w:eastAsia="Times New Roman"/>
                <w:color w:val="000000"/>
              </w:rPr>
              <w:t>15 to 19 years</w:t>
            </w:r>
          </w:p>
        </w:tc>
        <w:tc>
          <w:tcPr>
            <w:tcW w:w="1232" w:type="dxa"/>
            <w:tcBorders>
              <w:top w:val="nil"/>
              <w:left w:val="nil"/>
              <w:bottom w:val="nil"/>
              <w:right w:val="nil"/>
            </w:tcBorders>
            <w:shd w:val="clear" w:color="auto" w:fill="auto"/>
            <w:noWrap/>
            <w:vAlign w:val="bottom"/>
            <w:hideMark/>
          </w:tcPr>
          <w:p w14:paraId="0320617C" w14:textId="77777777" w:rsidR="00ED0E0F" w:rsidRPr="00ED0E0F" w:rsidRDefault="00ED0E0F" w:rsidP="00F16F2C">
            <w:pPr>
              <w:jc w:val="center"/>
              <w:rPr>
                <w:rFonts w:eastAsia="Times New Roman"/>
                <w:color w:val="000000"/>
              </w:rPr>
            </w:pPr>
            <w:r w:rsidRPr="00ED0E0F">
              <w:rPr>
                <w:rFonts w:eastAsia="Times New Roman"/>
                <w:color w:val="000000"/>
              </w:rPr>
              <w:t>811</w:t>
            </w:r>
          </w:p>
        </w:tc>
        <w:tc>
          <w:tcPr>
            <w:tcW w:w="1746" w:type="dxa"/>
            <w:tcBorders>
              <w:top w:val="nil"/>
              <w:left w:val="nil"/>
              <w:bottom w:val="nil"/>
              <w:right w:val="nil"/>
            </w:tcBorders>
            <w:shd w:val="clear" w:color="auto" w:fill="auto"/>
            <w:noWrap/>
            <w:vAlign w:val="bottom"/>
            <w:hideMark/>
          </w:tcPr>
          <w:p w14:paraId="0C488C0B" w14:textId="77777777" w:rsidR="00ED0E0F" w:rsidRPr="00ED0E0F" w:rsidRDefault="00ED0E0F" w:rsidP="00F16F2C">
            <w:pPr>
              <w:jc w:val="center"/>
              <w:rPr>
                <w:rFonts w:eastAsia="Times New Roman"/>
                <w:color w:val="000000"/>
              </w:rPr>
            </w:pPr>
            <w:r w:rsidRPr="00ED0E0F">
              <w:rPr>
                <w:rFonts w:eastAsia="Times New Roman"/>
                <w:color w:val="000000"/>
              </w:rPr>
              <w:t>16%</w:t>
            </w:r>
          </w:p>
        </w:tc>
        <w:tc>
          <w:tcPr>
            <w:tcW w:w="1232" w:type="dxa"/>
            <w:tcBorders>
              <w:top w:val="nil"/>
              <w:left w:val="nil"/>
              <w:bottom w:val="nil"/>
              <w:right w:val="nil"/>
            </w:tcBorders>
            <w:shd w:val="clear" w:color="auto" w:fill="auto"/>
            <w:noWrap/>
            <w:vAlign w:val="bottom"/>
            <w:hideMark/>
          </w:tcPr>
          <w:p w14:paraId="56314C1A" w14:textId="77777777" w:rsidR="00ED0E0F" w:rsidRPr="00ED0E0F" w:rsidRDefault="00ED0E0F" w:rsidP="00F16F2C">
            <w:pPr>
              <w:jc w:val="center"/>
              <w:rPr>
                <w:rFonts w:eastAsia="Times New Roman"/>
                <w:color w:val="000000"/>
              </w:rPr>
            </w:pPr>
            <w:r w:rsidRPr="00ED0E0F">
              <w:rPr>
                <w:rFonts w:eastAsia="Times New Roman"/>
                <w:color w:val="000000"/>
              </w:rPr>
              <w:t>709</w:t>
            </w:r>
          </w:p>
        </w:tc>
        <w:tc>
          <w:tcPr>
            <w:tcW w:w="1746" w:type="dxa"/>
            <w:tcBorders>
              <w:top w:val="nil"/>
              <w:left w:val="nil"/>
              <w:bottom w:val="nil"/>
              <w:right w:val="nil"/>
            </w:tcBorders>
            <w:shd w:val="clear" w:color="auto" w:fill="auto"/>
            <w:noWrap/>
            <w:vAlign w:val="bottom"/>
            <w:hideMark/>
          </w:tcPr>
          <w:p w14:paraId="3C416491" w14:textId="77777777" w:rsidR="00ED0E0F" w:rsidRPr="00ED0E0F" w:rsidRDefault="00ED0E0F" w:rsidP="00F16F2C">
            <w:pPr>
              <w:jc w:val="center"/>
              <w:rPr>
                <w:rFonts w:eastAsia="Times New Roman"/>
                <w:color w:val="000000"/>
              </w:rPr>
            </w:pPr>
            <w:r w:rsidRPr="00ED0E0F">
              <w:rPr>
                <w:rFonts w:eastAsia="Times New Roman"/>
                <w:color w:val="000000"/>
              </w:rPr>
              <w:t>13.4%</w:t>
            </w:r>
          </w:p>
        </w:tc>
        <w:tc>
          <w:tcPr>
            <w:tcW w:w="1485" w:type="dxa"/>
            <w:tcBorders>
              <w:top w:val="nil"/>
              <w:left w:val="nil"/>
              <w:bottom w:val="nil"/>
              <w:right w:val="nil"/>
            </w:tcBorders>
            <w:shd w:val="clear" w:color="auto" w:fill="auto"/>
            <w:noWrap/>
            <w:vAlign w:val="bottom"/>
            <w:hideMark/>
          </w:tcPr>
          <w:p w14:paraId="33BBE525" w14:textId="77777777" w:rsidR="00ED0E0F" w:rsidRPr="00ED0E0F" w:rsidRDefault="00ED0E0F" w:rsidP="00F16F2C">
            <w:pPr>
              <w:jc w:val="center"/>
              <w:rPr>
                <w:rFonts w:eastAsia="Times New Roman"/>
                <w:color w:val="000000"/>
              </w:rPr>
            </w:pPr>
            <w:r w:rsidRPr="00ED0E0F">
              <w:rPr>
                <w:rFonts w:eastAsia="Times New Roman"/>
                <w:color w:val="000000"/>
              </w:rPr>
              <w:t>-14%</w:t>
            </w:r>
          </w:p>
        </w:tc>
      </w:tr>
      <w:tr w:rsidR="00ED0E0F" w:rsidRPr="00ED0E0F" w14:paraId="7B3D646D" w14:textId="77777777" w:rsidTr="00F16F2C">
        <w:trPr>
          <w:trHeight w:val="303"/>
        </w:trPr>
        <w:tc>
          <w:tcPr>
            <w:tcW w:w="1670" w:type="dxa"/>
            <w:tcBorders>
              <w:top w:val="nil"/>
              <w:left w:val="nil"/>
              <w:bottom w:val="nil"/>
              <w:right w:val="nil"/>
            </w:tcBorders>
            <w:shd w:val="clear" w:color="auto" w:fill="auto"/>
            <w:noWrap/>
            <w:vAlign w:val="bottom"/>
            <w:hideMark/>
          </w:tcPr>
          <w:p w14:paraId="5B22F36F" w14:textId="77777777" w:rsidR="00ED0E0F" w:rsidRPr="00ED0E0F" w:rsidRDefault="00ED0E0F" w:rsidP="00F16F2C">
            <w:pPr>
              <w:rPr>
                <w:rFonts w:eastAsia="Times New Roman"/>
                <w:color w:val="000000"/>
              </w:rPr>
            </w:pPr>
            <w:r w:rsidRPr="00ED0E0F">
              <w:rPr>
                <w:rFonts w:eastAsia="Times New Roman"/>
                <w:color w:val="000000"/>
              </w:rPr>
              <w:t>20 to 24 years</w:t>
            </w:r>
          </w:p>
        </w:tc>
        <w:tc>
          <w:tcPr>
            <w:tcW w:w="1232" w:type="dxa"/>
            <w:tcBorders>
              <w:top w:val="nil"/>
              <w:left w:val="nil"/>
              <w:bottom w:val="nil"/>
              <w:right w:val="nil"/>
            </w:tcBorders>
            <w:shd w:val="clear" w:color="auto" w:fill="auto"/>
            <w:noWrap/>
            <w:vAlign w:val="bottom"/>
            <w:hideMark/>
          </w:tcPr>
          <w:p w14:paraId="66E1CD0D" w14:textId="77777777" w:rsidR="00ED0E0F" w:rsidRPr="00ED0E0F" w:rsidRDefault="00ED0E0F" w:rsidP="00F16F2C">
            <w:pPr>
              <w:jc w:val="center"/>
              <w:rPr>
                <w:rFonts w:eastAsia="Times New Roman"/>
                <w:color w:val="000000"/>
              </w:rPr>
            </w:pPr>
            <w:r w:rsidRPr="00ED0E0F">
              <w:rPr>
                <w:rFonts w:eastAsia="Times New Roman"/>
                <w:color w:val="000000"/>
              </w:rPr>
              <w:t>1090</w:t>
            </w:r>
          </w:p>
        </w:tc>
        <w:tc>
          <w:tcPr>
            <w:tcW w:w="1746" w:type="dxa"/>
            <w:tcBorders>
              <w:top w:val="nil"/>
              <w:left w:val="nil"/>
              <w:bottom w:val="nil"/>
              <w:right w:val="nil"/>
            </w:tcBorders>
            <w:shd w:val="clear" w:color="auto" w:fill="auto"/>
            <w:noWrap/>
            <w:vAlign w:val="bottom"/>
            <w:hideMark/>
          </w:tcPr>
          <w:p w14:paraId="7F8462DB" w14:textId="77777777" w:rsidR="00ED0E0F" w:rsidRPr="00ED0E0F" w:rsidRDefault="00ED0E0F" w:rsidP="00F16F2C">
            <w:pPr>
              <w:jc w:val="center"/>
              <w:rPr>
                <w:rFonts w:eastAsia="Times New Roman"/>
                <w:color w:val="000000"/>
              </w:rPr>
            </w:pPr>
            <w:r w:rsidRPr="00ED0E0F">
              <w:rPr>
                <w:rFonts w:eastAsia="Times New Roman"/>
                <w:color w:val="000000"/>
              </w:rPr>
              <w:t>21.5%</w:t>
            </w:r>
          </w:p>
        </w:tc>
        <w:tc>
          <w:tcPr>
            <w:tcW w:w="1232" w:type="dxa"/>
            <w:tcBorders>
              <w:top w:val="nil"/>
              <w:left w:val="nil"/>
              <w:bottom w:val="nil"/>
              <w:right w:val="nil"/>
            </w:tcBorders>
            <w:shd w:val="clear" w:color="auto" w:fill="auto"/>
            <w:noWrap/>
            <w:vAlign w:val="bottom"/>
            <w:hideMark/>
          </w:tcPr>
          <w:p w14:paraId="14D1646C" w14:textId="77777777" w:rsidR="00ED0E0F" w:rsidRPr="00ED0E0F" w:rsidRDefault="00ED0E0F" w:rsidP="00F16F2C">
            <w:pPr>
              <w:jc w:val="center"/>
              <w:rPr>
                <w:rFonts w:eastAsia="Times New Roman"/>
                <w:color w:val="000000"/>
              </w:rPr>
            </w:pPr>
            <w:r w:rsidRPr="00ED0E0F">
              <w:rPr>
                <w:rFonts w:eastAsia="Times New Roman"/>
                <w:color w:val="000000"/>
              </w:rPr>
              <w:t>1050</w:t>
            </w:r>
          </w:p>
        </w:tc>
        <w:tc>
          <w:tcPr>
            <w:tcW w:w="1746" w:type="dxa"/>
            <w:tcBorders>
              <w:top w:val="nil"/>
              <w:left w:val="nil"/>
              <w:bottom w:val="nil"/>
              <w:right w:val="nil"/>
            </w:tcBorders>
            <w:shd w:val="clear" w:color="auto" w:fill="auto"/>
            <w:noWrap/>
            <w:vAlign w:val="bottom"/>
            <w:hideMark/>
          </w:tcPr>
          <w:p w14:paraId="40063643" w14:textId="77777777" w:rsidR="00ED0E0F" w:rsidRPr="00ED0E0F" w:rsidRDefault="00ED0E0F" w:rsidP="00F16F2C">
            <w:pPr>
              <w:jc w:val="center"/>
              <w:rPr>
                <w:rFonts w:eastAsia="Times New Roman"/>
                <w:color w:val="000000"/>
              </w:rPr>
            </w:pPr>
            <w:r w:rsidRPr="00ED0E0F">
              <w:rPr>
                <w:rFonts w:eastAsia="Times New Roman"/>
                <w:color w:val="000000"/>
              </w:rPr>
              <w:t>19.9%</w:t>
            </w:r>
          </w:p>
        </w:tc>
        <w:tc>
          <w:tcPr>
            <w:tcW w:w="1485" w:type="dxa"/>
            <w:tcBorders>
              <w:top w:val="nil"/>
              <w:left w:val="nil"/>
              <w:bottom w:val="nil"/>
              <w:right w:val="nil"/>
            </w:tcBorders>
            <w:shd w:val="clear" w:color="auto" w:fill="auto"/>
            <w:noWrap/>
            <w:vAlign w:val="bottom"/>
            <w:hideMark/>
          </w:tcPr>
          <w:p w14:paraId="495C7691" w14:textId="77777777" w:rsidR="00ED0E0F" w:rsidRPr="00ED0E0F" w:rsidRDefault="00ED0E0F" w:rsidP="00F16F2C">
            <w:pPr>
              <w:jc w:val="center"/>
              <w:rPr>
                <w:rFonts w:eastAsia="Times New Roman"/>
                <w:color w:val="000000"/>
              </w:rPr>
            </w:pPr>
            <w:r w:rsidRPr="00ED0E0F">
              <w:rPr>
                <w:rFonts w:eastAsia="Times New Roman"/>
                <w:color w:val="000000"/>
              </w:rPr>
              <w:t>-4%</w:t>
            </w:r>
          </w:p>
        </w:tc>
      </w:tr>
      <w:tr w:rsidR="00ED0E0F" w:rsidRPr="00ED0E0F" w14:paraId="4D87FE13" w14:textId="77777777" w:rsidTr="00F16F2C">
        <w:trPr>
          <w:trHeight w:val="303"/>
        </w:trPr>
        <w:tc>
          <w:tcPr>
            <w:tcW w:w="1670" w:type="dxa"/>
            <w:tcBorders>
              <w:top w:val="nil"/>
              <w:left w:val="nil"/>
              <w:bottom w:val="nil"/>
              <w:right w:val="nil"/>
            </w:tcBorders>
            <w:shd w:val="clear" w:color="auto" w:fill="auto"/>
            <w:noWrap/>
            <w:vAlign w:val="bottom"/>
            <w:hideMark/>
          </w:tcPr>
          <w:p w14:paraId="7D429BEF" w14:textId="77777777" w:rsidR="00ED0E0F" w:rsidRPr="00ED0E0F" w:rsidRDefault="00ED0E0F" w:rsidP="00F16F2C">
            <w:pPr>
              <w:rPr>
                <w:rFonts w:eastAsia="Times New Roman"/>
                <w:color w:val="000000"/>
              </w:rPr>
            </w:pPr>
            <w:r w:rsidRPr="00ED0E0F">
              <w:rPr>
                <w:rFonts w:eastAsia="Times New Roman"/>
                <w:color w:val="000000"/>
              </w:rPr>
              <w:t>25 to 34 years</w:t>
            </w:r>
          </w:p>
        </w:tc>
        <w:tc>
          <w:tcPr>
            <w:tcW w:w="1232" w:type="dxa"/>
            <w:tcBorders>
              <w:top w:val="nil"/>
              <w:left w:val="nil"/>
              <w:bottom w:val="nil"/>
              <w:right w:val="nil"/>
            </w:tcBorders>
            <w:shd w:val="clear" w:color="auto" w:fill="auto"/>
            <w:noWrap/>
            <w:vAlign w:val="bottom"/>
            <w:hideMark/>
          </w:tcPr>
          <w:p w14:paraId="7F652737" w14:textId="77777777" w:rsidR="00ED0E0F" w:rsidRPr="00ED0E0F" w:rsidRDefault="00ED0E0F" w:rsidP="00F16F2C">
            <w:pPr>
              <w:jc w:val="center"/>
              <w:rPr>
                <w:rFonts w:eastAsia="Times New Roman"/>
                <w:color w:val="000000"/>
              </w:rPr>
            </w:pPr>
            <w:r w:rsidRPr="00ED0E0F">
              <w:rPr>
                <w:rFonts w:eastAsia="Times New Roman"/>
                <w:color w:val="000000"/>
              </w:rPr>
              <w:t>410</w:t>
            </w:r>
          </w:p>
        </w:tc>
        <w:tc>
          <w:tcPr>
            <w:tcW w:w="1746" w:type="dxa"/>
            <w:tcBorders>
              <w:top w:val="nil"/>
              <w:left w:val="nil"/>
              <w:bottom w:val="nil"/>
              <w:right w:val="nil"/>
            </w:tcBorders>
            <w:shd w:val="clear" w:color="auto" w:fill="auto"/>
            <w:noWrap/>
            <w:vAlign w:val="bottom"/>
            <w:hideMark/>
          </w:tcPr>
          <w:p w14:paraId="669E71DF" w14:textId="77777777" w:rsidR="00ED0E0F" w:rsidRPr="00ED0E0F" w:rsidRDefault="00ED0E0F" w:rsidP="00F16F2C">
            <w:pPr>
              <w:jc w:val="center"/>
              <w:rPr>
                <w:rFonts w:eastAsia="Times New Roman"/>
                <w:color w:val="000000"/>
              </w:rPr>
            </w:pPr>
            <w:r w:rsidRPr="00ED0E0F">
              <w:rPr>
                <w:rFonts w:eastAsia="Times New Roman"/>
                <w:color w:val="000000"/>
              </w:rPr>
              <w:t>8.1%</w:t>
            </w:r>
          </w:p>
        </w:tc>
        <w:tc>
          <w:tcPr>
            <w:tcW w:w="1232" w:type="dxa"/>
            <w:tcBorders>
              <w:top w:val="nil"/>
              <w:left w:val="nil"/>
              <w:bottom w:val="nil"/>
              <w:right w:val="nil"/>
            </w:tcBorders>
            <w:shd w:val="clear" w:color="auto" w:fill="auto"/>
            <w:noWrap/>
            <w:vAlign w:val="bottom"/>
            <w:hideMark/>
          </w:tcPr>
          <w:p w14:paraId="678372D1" w14:textId="77777777" w:rsidR="00ED0E0F" w:rsidRPr="00ED0E0F" w:rsidRDefault="00ED0E0F" w:rsidP="00F16F2C">
            <w:pPr>
              <w:jc w:val="center"/>
              <w:rPr>
                <w:rFonts w:eastAsia="Times New Roman"/>
                <w:color w:val="000000"/>
              </w:rPr>
            </w:pPr>
            <w:r w:rsidRPr="00ED0E0F">
              <w:rPr>
                <w:rFonts w:eastAsia="Times New Roman"/>
                <w:color w:val="000000"/>
              </w:rPr>
              <w:t>527</w:t>
            </w:r>
          </w:p>
        </w:tc>
        <w:tc>
          <w:tcPr>
            <w:tcW w:w="1746" w:type="dxa"/>
            <w:tcBorders>
              <w:top w:val="nil"/>
              <w:left w:val="nil"/>
              <w:bottom w:val="nil"/>
              <w:right w:val="nil"/>
            </w:tcBorders>
            <w:shd w:val="clear" w:color="auto" w:fill="auto"/>
            <w:noWrap/>
            <w:vAlign w:val="bottom"/>
            <w:hideMark/>
          </w:tcPr>
          <w:p w14:paraId="38D8B0F7" w14:textId="77777777" w:rsidR="00ED0E0F" w:rsidRPr="00ED0E0F" w:rsidRDefault="00ED0E0F" w:rsidP="00F16F2C">
            <w:pPr>
              <w:jc w:val="center"/>
              <w:rPr>
                <w:rFonts w:eastAsia="Times New Roman"/>
                <w:color w:val="000000"/>
              </w:rPr>
            </w:pPr>
            <w:r w:rsidRPr="00ED0E0F">
              <w:rPr>
                <w:rFonts w:eastAsia="Times New Roman"/>
                <w:color w:val="000000"/>
              </w:rPr>
              <w:t>10%</w:t>
            </w:r>
          </w:p>
        </w:tc>
        <w:tc>
          <w:tcPr>
            <w:tcW w:w="1485" w:type="dxa"/>
            <w:tcBorders>
              <w:top w:val="nil"/>
              <w:left w:val="nil"/>
              <w:bottom w:val="nil"/>
              <w:right w:val="nil"/>
            </w:tcBorders>
            <w:shd w:val="clear" w:color="auto" w:fill="auto"/>
            <w:noWrap/>
            <w:vAlign w:val="bottom"/>
            <w:hideMark/>
          </w:tcPr>
          <w:p w14:paraId="6C09C2ED" w14:textId="77777777" w:rsidR="00ED0E0F" w:rsidRPr="00ED0E0F" w:rsidRDefault="00ED0E0F" w:rsidP="00F16F2C">
            <w:pPr>
              <w:jc w:val="center"/>
              <w:rPr>
                <w:rFonts w:eastAsia="Times New Roman"/>
                <w:color w:val="000000"/>
              </w:rPr>
            </w:pPr>
            <w:r w:rsidRPr="00ED0E0F">
              <w:rPr>
                <w:rFonts w:eastAsia="Times New Roman"/>
                <w:color w:val="000000"/>
              </w:rPr>
              <w:t>22%</w:t>
            </w:r>
          </w:p>
        </w:tc>
      </w:tr>
      <w:tr w:rsidR="00ED0E0F" w:rsidRPr="00ED0E0F" w14:paraId="552474B1" w14:textId="77777777" w:rsidTr="00F16F2C">
        <w:trPr>
          <w:trHeight w:val="303"/>
        </w:trPr>
        <w:tc>
          <w:tcPr>
            <w:tcW w:w="1670" w:type="dxa"/>
            <w:tcBorders>
              <w:top w:val="nil"/>
              <w:left w:val="nil"/>
              <w:bottom w:val="nil"/>
              <w:right w:val="nil"/>
            </w:tcBorders>
            <w:shd w:val="clear" w:color="auto" w:fill="auto"/>
            <w:noWrap/>
            <w:vAlign w:val="bottom"/>
            <w:hideMark/>
          </w:tcPr>
          <w:p w14:paraId="752B0208" w14:textId="77777777" w:rsidR="00ED0E0F" w:rsidRPr="00ED0E0F" w:rsidRDefault="00ED0E0F" w:rsidP="00F16F2C">
            <w:pPr>
              <w:rPr>
                <w:rFonts w:eastAsia="Times New Roman"/>
                <w:color w:val="000000"/>
              </w:rPr>
            </w:pPr>
            <w:r w:rsidRPr="00ED0E0F">
              <w:rPr>
                <w:rFonts w:eastAsia="Times New Roman"/>
                <w:color w:val="000000"/>
              </w:rPr>
              <w:t>35 to 44 years</w:t>
            </w:r>
          </w:p>
        </w:tc>
        <w:tc>
          <w:tcPr>
            <w:tcW w:w="1232" w:type="dxa"/>
            <w:tcBorders>
              <w:top w:val="nil"/>
              <w:left w:val="nil"/>
              <w:bottom w:val="nil"/>
              <w:right w:val="nil"/>
            </w:tcBorders>
            <w:shd w:val="clear" w:color="auto" w:fill="auto"/>
            <w:noWrap/>
            <w:vAlign w:val="bottom"/>
            <w:hideMark/>
          </w:tcPr>
          <w:p w14:paraId="0DF9D2AA" w14:textId="77777777" w:rsidR="00ED0E0F" w:rsidRPr="00ED0E0F" w:rsidRDefault="00ED0E0F" w:rsidP="00F16F2C">
            <w:pPr>
              <w:jc w:val="center"/>
              <w:rPr>
                <w:rFonts w:eastAsia="Times New Roman"/>
                <w:color w:val="000000"/>
              </w:rPr>
            </w:pPr>
            <w:r w:rsidRPr="00ED0E0F">
              <w:rPr>
                <w:rFonts w:eastAsia="Times New Roman"/>
                <w:color w:val="000000"/>
              </w:rPr>
              <w:t>553</w:t>
            </w:r>
          </w:p>
        </w:tc>
        <w:tc>
          <w:tcPr>
            <w:tcW w:w="1746" w:type="dxa"/>
            <w:tcBorders>
              <w:top w:val="nil"/>
              <w:left w:val="nil"/>
              <w:bottom w:val="nil"/>
              <w:right w:val="nil"/>
            </w:tcBorders>
            <w:shd w:val="clear" w:color="auto" w:fill="auto"/>
            <w:noWrap/>
            <w:vAlign w:val="bottom"/>
            <w:hideMark/>
          </w:tcPr>
          <w:p w14:paraId="44136AA5" w14:textId="77777777" w:rsidR="00ED0E0F" w:rsidRPr="00ED0E0F" w:rsidRDefault="00ED0E0F" w:rsidP="00F16F2C">
            <w:pPr>
              <w:jc w:val="center"/>
              <w:rPr>
                <w:rFonts w:eastAsia="Times New Roman"/>
                <w:color w:val="000000"/>
              </w:rPr>
            </w:pPr>
            <w:r w:rsidRPr="00ED0E0F">
              <w:rPr>
                <w:rFonts w:eastAsia="Times New Roman"/>
                <w:color w:val="000000"/>
              </w:rPr>
              <w:t>10.9%</w:t>
            </w:r>
          </w:p>
        </w:tc>
        <w:tc>
          <w:tcPr>
            <w:tcW w:w="1232" w:type="dxa"/>
            <w:tcBorders>
              <w:top w:val="nil"/>
              <w:left w:val="nil"/>
              <w:bottom w:val="nil"/>
              <w:right w:val="nil"/>
            </w:tcBorders>
            <w:shd w:val="clear" w:color="auto" w:fill="auto"/>
            <w:noWrap/>
            <w:vAlign w:val="bottom"/>
            <w:hideMark/>
          </w:tcPr>
          <w:p w14:paraId="37EF2032" w14:textId="77777777" w:rsidR="00ED0E0F" w:rsidRPr="00ED0E0F" w:rsidRDefault="00ED0E0F" w:rsidP="00F16F2C">
            <w:pPr>
              <w:jc w:val="center"/>
              <w:rPr>
                <w:rFonts w:eastAsia="Times New Roman"/>
                <w:color w:val="000000"/>
              </w:rPr>
            </w:pPr>
            <w:r w:rsidRPr="00ED0E0F">
              <w:rPr>
                <w:rFonts w:eastAsia="Times New Roman"/>
                <w:color w:val="000000"/>
              </w:rPr>
              <w:t>394</w:t>
            </w:r>
          </w:p>
        </w:tc>
        <w:tc>
          <w:tcPr>
            <w:tcW w:w="1746" w:type="dxa"/>
            <w:tcBorders>
              <w:top w:val="nil"/>
              <w:left w:val="nil"/>
              <w:bottom w:val="nil"/>
              <w:right w:val="nil"/>
            </w:tcBorders>
            <w:shd w:val="clear" w:color="auto" w:fill="auto"/>
            <w:noWrap/>
            <w:vAlign w:val="bottom"/>
            <w:hideMark/>
          </w:tcPr>
          <w:p w14:paraId="6BB2F959" w14:textId="77777777" w:rsidR="00ED0E0F" w:rsidRPr="00ED0E0F" w:rsidRDefault="00ED0E0F" w:rsidP="00F16F2C">
            <w:pPr>
              <w:jc w:val="center"/>
              <w:rPr>
                <w:rFonts w:eastAsia="Times New Roman"/>
                <w:color w:val="000000"/>
              </w:rPr>
            </w:pPr>
            <w:r w:rsidRPr="00ED0E0F">
              <w:rPr>
                <w:rFonts w:eastAsia="Times New Roman"/>
                <w:color w:val="000000"/>
              </w:rPr>
              <w:t>7.4%</w:t>
            </w:r>
          </w:p>
        </w:tc>
        <w:tc>
          <w:tcPr>
            <w:tcW w:w="1485" w:type="dxa"/>
            <w:tcBorders>
              <w:top w:val="nil"/>
              <w:left w:val="nil"/>
              <w:bottom w:val="nil"/>
              <w:right w:val="nil"/>
            </w:tcBorders>
            <w:shd w:val="clear" w:color="auto" w:fill="auto"/>
            <w:noWrap/>
            <w:vAlign w:val="bottom"/>
            <w:hideMark/>
          </w:tcPr>
          <w:p w14:paraId="4C14CDB5" w14:textId="77777777" w:rsidR="00ED0E0F" w:rsidRPr="00ED0E0F" w:rsidRDefault="00ED0E0F" w:rsidP="00F16F2C">
            <w:pPr>
              <w:jc w:val="center"/>
              <w:rPr>
                <w:rFonts w:eastAsia="Times New Roman"/>
                <w:color w:val="000000"/>
              </w:rPr>
            </w:pPr>
            <w:r w:rsidRPr="00ED0E0F">
              <w:rPr>
                <w:rFonts w:eastAsia="Times New Roman"/>
                <w:color w:val="000000"/>
              </w:rPr>
              <w:t>-40%</w:t>
            </w:r>
          </w:p>
        </w:tc>
      </w:tr>
      <w:tr w:rsidR="00ED0E0F" w:rsidRPr="00ED0E0F" w14:paraId="75A23D16" w14:textId="77777777" w:rsidTr="00F16F2C">
        <w:trPr>
          <w:trHeight w:val="303"/>
        </w:trPr>
        <w:tc>
          <w:tcPr>
            <w:tcW w:w="1670" w:type="dxa"/>
            <w:tcBorders>
              <w:top w:val="nil"/>
              <w:left w:val="nil"/>
              <w:bottom w:val="nil"/>
              <w:right w:val="nil"/>
            </w:tcBorders>
            <w:shd w:val="clear" w:color="auto" w:fill="auto"/>
            <w:noWrap/>
            <w:vAlign w:val="bottom"/>
            <w:hideMark/>
          </w:tcPr>
          <w:p w14:paraId="729D7F44" w14:textId="77777777" w:rsidR="00ED0E0F" w:rsidRPr="00ED0E0F" w:rsidRDefault="00ED0E0F" w:rsidP="00F16F2C">
            <w:pPr>
              <w:rPr>
                <w:rFonts w:eastAsia="Times New Roman"/>
                <w:color w:val="000000"/>
              </w:rPr>
            </w:pPr>
            <w:r w:rsidRPr="00ED0E0F">
              <w:rPr>
                <w:rFonts w:eastAsia="Times New Roman"/>
                <w:color w:val="000000"/>
              </w:rPr>
              <w:t>45 to 54 years</w:t>
            </w:r>
          </w:p>
        </w:tc>
        <w:tc>
          <w:tcPr>
            <w:tcW w:w="1232" w:type="dxa"/>
            <w:tcBorders>
              <w:top w:val="nil"/>
              <w:left w:val="nil"/>
              <w:bottom w:val="nil"/>
              <w:right w:val="nil"/>
            </w:tcBorders>
            <w:shd w:val="clear" w:color="auto" w:fill="auto"/>
            <w:noWrap/>
            <w:vAlign w:val="bottom"/>
            <w:hideMark/>
          </w:tcPr>
          <w:p w14:paraId="1F285329" w14:textId="77777777" w:rsidR="00ED0E0F" w:rsidRPr="00ED0E0F" w:rsidRDefault="00ED0E0F" w:rsidP="00F16F2C">
            <w:pPr>
              <w:jc w:val="center"/>
              <w:rPr>
                <w:rFonts w:eastAsia="Times New Roman"/>
                <w:color w:val="000000"/>
              </w:rPr>
            </w:pPr>
            <w:r w:rsidRPr="00ED0E0F">
              <w:rPr>
                <w:rFonts w:eastAsia="Times New Roman"/>
                <w:color w:val="000000"/>
              </w:rPr>
              <w:t>448</w:t>
            </w:r>
          </w:p>
        </w:tc>
        <w:tc>
          <w:tcPr>
            <w:tcW w:w="1746" w:type="dxa"/>
            <w:tcBorders>
              <w:top w:val="nil"/>
              <w:left w:val="nil"/>
              <w:bottom w:val="nil"/>
              <w:right w:val="nil"/>
            </w:tcBorders>
            <w:shd w:val="clear" w:color="auto" w:fill="auto"/>
            <w:noWrap/>
            <w:vAlign w:val="bottom"/>
            <w:hideMark/>
          </w:tcPr>
          <w:p w14:paraId="690AFE52" w14:textId="77777777" w:rsidR="00ED0E0F" w:rsidRPr="00ED0E0F" w:rsidRDefault="00ED0E0F" w:rsidP="00F16F2C">
            <w:pPr>
              <w:jc w:val="center"/>
              <w:rPr>
                <w:rFonts w:eastAsia="Times New Roman"/>
                <w:color w:val="000000"/>
              </w:rPr>
            </w:pPr>
            <w:r w:rsidRPr="00ED0E0F">
              <w:rPr>
                <w:rFonts w:eastAsia="Times New Roman"/>
                <w:color w:val="000000"/>
              </w:rPr>
              <w:t>8.8%</w:t>
            </w:r>
          </w:p>
        </w:tc>
        <w:tc>
          <w:tcPr>
            <w:tcW w:w="1232" w:type="dxa"/>
            <w:tcBorders>
              <w:top w:val="nil"/>
              <w:left w:val="nil"/>
              <w:bottom w:val="nil"/>
              <w:right w:val="nil"/>
            </w:tcBorders>
            <w:shd w:val="clear" w:color="auto" w:fill="auto"/>
            <w:noWrap/>
            <w:vAlign w:val="bottom"/>
            <w:hideMark/>
          </w:tcPr>
          <w:p w14:paraId="65CB72FE" w14:textId="77777777" w:rsidR="00ED0E0F" w:rsidRPr="00ED0E0F" w:rsidRDefault="00ED0E0F" w:rsidP="00F16F2C">
            <w:pPr>
              <w:jc w:val="center"/>
              <w:rPr>
                <w:rFonts w:eastAsia="Times New Roman"/>
                <w:color w:val="000000"/>
              </w:rPr>
            </w:pPr>
            <w:r w:rsidRPr="00ED0E0F">
              <w:rPr>
                <w:rFonts w:eastAsia="Times New Roman"/>
                <w:color w:val="000000"/>
              </w:rPr>
              <w:t>515</w:t>
            </w:r>
          </w:p>
        </w:tc>
        <w:tc>
          <w:tcPr>
            <w:tcW w:w="1746" w:type="dxa"/>
            <w:tcBorders>
              <w:top w:val="nil"/>
              <w:left w:val="nil"/>
              <w:bottom w:val="nil"/>
              <w:right w:val="nil"/>
            </w:tcBorders>
            <w:shd w:val="clear" w:color="auto" w:fill="auto"/>
            <w:noWrap/>
            <w:vAlign w:val="bottom"/>
            <w:hideMark/>
          </w:tcPr>
          <w:p w14:paraId="490766FF" w14:textId="77777777" w:rsidR="00ED0E0F" w:rsidRPr="00ED0E0F" w:rsidRDefault="00ED0E0F" w:rsidP="00F16F2C">
            <w:pPr>
              <w:jc w:val="center"/>
              <w:rPr>
                <w:rFonts w:eastAsia="Times New Roman"/>
                <w:color w:val="000000"/>
              </w:rPr>
            </w:pPr>
            <w:r w:rsidRPr="00ED0E0F">
              <w:rPr>
                <w:rFonts w:eastAsia="Times New Roman"/>
                <w:color w:val="000000"/>
              </w:rPr>
              <w:t>9.7%</w:t>
            </w:r>
          </w:p>
        </w:tc>
        <w:tc>
          <w:tcPr>
            <w:tcW w:w="1485" w:type="dxa"/>
            <w:tcBorders>
              <w:top w:val="nil"/>
              <w:left w:val="nil"/>
              <w:bottom w:val="nil"/>
              <w:right w:val="nil"/>
            </w:tcBorders>
            <w:shd w:val="clear" w:color="auto" w:fill="auto"/>
            <w:noWrap/>
            <w:vAlign w:val="bottom"/>
            <w:hideMark/>
          </w:tcPr>
          <w:p w14:paraId="3C070D9E" w14:textId="77777777" w:rsidR="00ED0E0F" w:rsidRPr="00ED0E0F" w:rsidRDefault="00ED0E0F" w:rsidP="00F16F2C">
            <w:pPr>
              <w:jc w:val="center"/>
              <w:rPr>
                <w:rFonts w:eastAsia="Times New Roman"/>
                <w:color w:val="000000"/>
              </w:rPr>
            </w:pPr>
            <w:r w:rsidRPr="00ED0E0F">
              <w:rPr>
                <w:rFonts w:eastAsia="Times New Roman"/>
                <w:color w:val="000000"/>
              </w:rPr>
              <w:t>13%</w:t>
            </w:r>
          </w:p>
        </w:tc>
      </w:tr>
      <w:tr w:rsidR="00ED0E0F" w:rsidRPr="00ED0E0F" w14:paraId="6A11BA71" w14:textId="77777777" w:rsidTr="00F16F2C">
        <w:trPr>
          <w:trHeight w:val="303"/>
        </w:trPr>
        <w:tc>
          <w:tcPr>
            <w:tcW w:w="1670" w:type="dxa"/>
            <w:tcBorders>
              <w:top w:val="nil"/>
              <w:left w:val="nil"/>
              <w:bottom w:val="nil"/>
              <w:right w:val="nil"/>
            </w:tcBorders>
            <w:shd w:val="clear" w:color="auto" w:fill="auto"/>
            <w:noWrap/>
            <w:vAlign w:val="bottom"/>
            <w:hideMark/>
          </w:tcPr>
          <w:p w14:paraId="6C0E7B43" w14:textId="77777777" w:rsidR="00ED0E0F" w:rsidRPr="00ED0E0F" w:rsidRDefault="00ED0E0F" w:rsidP="00F16F2C">
            <w:pPr>
              <w:rPr>
                <w:rFonts w:eastAsia="Times New Roman"/>
                <w:color w:val="000000"/>
              </w:rPr>
            </w:pPr>
            <w:r w:rsidRPr="00ED0E0F">
              <w:rPr>
                <w:rFonts w:eastAsia="Times New Roman"/>
                <w:color w:val="000000"/>
              </w:rPr>
              <w:t>55 to 59 years</w:t>
            </w:r>
          </w:p>
        </w:tc>
        <w:tc>
          <w:tcPr>
            <w:tcW w:w="1232" w:type="dxa"/>
            <w:tcBorders>
              <w:top w:val="nil"/>
              <w:left w:val="nil"/>
              <w:bottom w:val="nil"/>
              <w:right w:val="nil"/>
            </w:tcBorders>
            <w:shd w:val="clear" w:color="auto" w:fill="auto"/>
            <w:noWrap/>
            <w:vAlign w:val="bottom"/>
            <w:hideMark/>
          </w:tcPr>
          <w:p w14:paraId="029BA65D" w14:textId="77777777" w:rsidR="00ED0E0F" w:rsidRPr="00ED0E0F" w:rsidRDefault="00ED0E0F" w:rsidP="00F16F2C">
            <w:pPr>
              <w:jc w:val="center"/>
              <w:rPr>
                <w:rFonts w:eastAsia="Times New Roman"/>
                <w:color w:val="000000"/>
              </w:rPr>
            </w:pPr>
            <w:r w:rsidRPr="00ED0E0F">
              <w:rPr>
                <w:rFonts w:eastAsia="Times New Roman"/>
                <w:color w:val="000000"/>
              </w:rPr>
              <w:t>144</w:t>
            </w:r>
          </w:p>
        </w:tc>
        <w:tc>
          <w:tcPr>
            <w:tcW w:w="1746" w:type="dxa"/>
            <w:tcBorders>
              <w:top w:val="nil"/>
              <w:left w:val="nil"/>
              <w:bottom w:val="nil"/>
              <w:right w:val="nil"/>
            </w:tcBorders>
            <w:shd w:val="clear" w:color="auto" w:fill="auto"/>
            <w:noWrap/>
            <w:vAlign w:val="bottom"/>
            <w:hideMark/>
          </w:tcPr>
          <w:p w14:paraId="2849FC5A" w14:textId="77777777" w:rsidR="00ED0E0F" w:rsidRPr="00ED0E0F" w:rsidRDefault="00ED0E0F" w:rsidP="00F16F2C">
            <w:pPr>
              <w:jc w:val="center"/>
              <w:rPr>
                <w:rFonts w:eastAsia="Times New Roman"/>
                <w:color w:val="000000"/>
              </w:rPr>
            </w:pPr>
            <w:r w:rsidRPr="00ED0E0F">
              <w:rPr>
                <w:rFonts w:eastAsia="Times New Roman"/>
                <w:color w:val="000000"/>
              </w:rPr>
              <w:t>2.8%</w:t>
            </w:r>
          </w:p>
        </w:tc>
        <w:tc>
          <w:tcPr>
            <w:tcW w:w="1232" w:type="dxa"/>
            <w:tcBorders>
              <w:top w:val="nil"/>
              <w:left w:val="nil"/>
              <w:bottom w:val="nil"/>
              <w:right w:val="nil"/>
            </w:tcBorders>
            <w:shd w:val="clear" w:color="auto" w:fill="auto"/>
            <w:noWrap/>
            <w:vAlign w:val="bottom"/>
            <w:hideMark/>
          </w:tcPr>
          <w:p w14:paraId="3962D5E0" w14:textId="77777777" w:rsidR="00ED0E0F" w:rsidRPr="00ED0E0F" w:rsidRDefault="00ED0E0F" w:rsidP="00F16F2C">
            <w:pPr>
              <w:jc w:val="center"/>
              <w:rPr>
                <w:rFonts w:eastAsia="Times New Roman"/>
                <w:color w:val="000000"/>
              </w:rPr>
            </w:pPr>
            <w:r w:rsidRPr="00ED0E0F">
              <w:rPr>
                <w:rFonts w:eastAsia="Times New Roman"/>
                <w:color w:val="000000"/>
              </w:rPr>
              <w:t>250</w:t>
            </w:r>
          </w:p>
        </w:tc>
        <w:tc>
          <w:tcPr>
            <w:tcW w:w="1746" w:type="dxa"/>
            <w:tcBorders>
              <w:top w:val="nil"/>
              <w:left w:val="nil"/>
              <w:bottom w:val="nil"/>
              <w:right w:val="nil"/>
            </w:tcBorders>
            <w:shd w:val="clear" w:color="auto" w:fill="auto"/>
            <w:noWrap/>
            <w:vAlign w:val="bottom"/>
            <w:hideMark/>
          </w:tcPr>
          <w:p w14:paraId="1FB3C04D" w14:textId="77777777" w:rsidR="00ED0E0F" w:rsidRPr="00ED0E0F" w:rsidRDefault="00ED0E0F" w:rsidP="00F16F2C">
            <w:pPr>
              <w:jc w:val="center"/>
              <w:rPr>
                <w:rFonts w:eastAsia="Times New Roman"/>
                <w:color w:val="000000"/>
              </w:rPr>
            </w:pPr>
            <w:r w:rsidRPr="00ED0E0F">
              <w:rPr>
                <w:rFonts w:eastAsia="Times New Roman"/>
                <w:color w:val="000000"/>
              </w:rPr>
              <w:t>4.7%</w:t>
            </w:r>
          </w:p>
        </w:tc>
        <w:tc>
          <w:tcPr>
            <w:tcW w:w="1485" w:type="dxa"/>
            <w:tcBorders>
              <w:top w:val="nil"/>
              <w:left w:val="nil"/>
              <w:bottom w:val="nil"/>
              <w:right w:val="nil"/>
            </w:tcBorders>
            <w:shd w:val="clear" w:color="auto" w:fill="auto"/>
            <w:noWrap/>
            <w:vAlign w:val="bottom"/>
            <w:hideMark/>
          </w:tcPr>
          <w:p w14:paraId="4DE52037" w14:textId="77777777" w:rsidR="00ED0E0F" w:rsidRPr="00ED0E0F" w:rsidRDefault="00ED0E0F" w:rsidP="00F16F2C">
            <w:pPr>
              <w:jc w:val="center"/>
              <w:rPr>
                <w:rFonts w:eastAsia="Times New Roman"/>
                <w:color w:val="000000"/>
              </w:rPr>
            </w:pPr>
            <w:r w:rsidRPr="00ED0E0F">
              <w:rPr>
                <w:rFonts w:eastAsia="Times New Roman"/>
                <w:color w:val="000000"/>
              </w:rPr>
              <w:t>42%</w:t>
            </w:r>
          </w:p>
        </w:tc>
      </w:tr>
      <w:tr w:rsidR="00ED0E0F" w:rsidRPr="00ED0E0F" w14:paraId="5342B3F1" w14:textId="77777777" w:rsidTr="00F16F2C">
        <w:trPr>
          <w:trHeight w:val="303"/>
        </w:trPr>
        <w:tc>
          <w:tcPr>
            <w:tcW w:w="1670" w:type="dxa"/>
            <w:tcBorders>
              <w:top w:val="nil"/>
              <w:left w:val="nil"/>
              <w:bottom w:val="nil"/>
              <w:right w:val="nil"/>
            </w:tcBorders>
            <w:shd w:val="clear" w:color="auto" w:fill="auto"/>
            <w:noWrap/>
            <w:vAlign w:val="bottom"/>
            <w:hideMark/>
          </w:tcPr>
          <w:p w14:paraId="452A606F" w14:textId="77777777" w:rsidR="00ED0E0F" w:rsidRPr="00ED0E0F" w:rsidRDefault="00ED0E0F" w:rsidP="00F16F2C">
            <w:pPr>
              <w:rPr>
                <w:rFonts w:eastAsia="Times New Roman"/>
                <w:color w:val="000000"/>
              </w:rPr>
            </w:pPr>
            <w:r w:rsidRPr="00ED0E0F">
              <w:rPr>
                <w:rFonts w:eastAsia="Times New Roman"/>
                <w:color w:val="000000"/>
              </w:rPr>
              <w:t>60 to 64 years</w:t>
            </w:r>
          </w:p>
        </w:tc>
        <w:tc>
          <w:tcPr>
            <w:tcW w:w="1232" w:type="dxa"/>
            <w:tcBorders>
              <w:top w:val="nil"/>
              <w:left w:val="nil"/>
              <w:bottom w:val="nil"/>
              <w:right w:val="nil"/>
            </w:tcBorders>
            <w:shd w:val="clear" w:color="auto" w:fill="auto"/>
            <w:noWrap/>
            <w:vAlign w:val="bottom"/>
            <w:hideMark/>
          </w:tcPr>
          <w:p w14:paraId="05C264EF" w14:textId="77777777" w:rsidR="00ED0E0F" w:rsidRPr="00ED0E0F" w:rsidRDefault="00ED0E0F" w:rsidP="00F16F2C">
            <w:pPr>
              <w:jc w:val="center"/>
              <w:rPr>
                <w:rFonts w:eastAsia="Times New Roman"/>
                <w:color w:val="000000"/>
              </w:rPr>
            </w:pPr>
            <w:r w:rsidRPr="00ED0E0F">
              <w:rPr>
                <w:rFonts w:eastAsia="Times New Roman"/>
                <w:color w:val="000000"/>
              </w:rPr>
              <w:t>114</w:t>
            </w:r>
          </w:p>
        </w:tc>
        <w:tc>
          <w:tcPr>
            <w:tcW w:w="1746" w:type="dxa"/>
            <w:tcBorders>
              <w:top w:val="nil"/>
              <w:left w:val="nil"/>
              <w:bottom w:val="nil"/>
              <w:right w:val="nil"/>
            </w:tcBorders>
            <w:shd w:val="clear" w:color="auto" w:fill="auto"/>
            <w:noWrap/>
            <w:vAlign w:val="bottom"/>
            <w:hideMark/>
          </w:tcPr>
          <w:p w14:paraId="0DA6D9CD" w14:textId="77777777" w:rsidR="00ED0E0F" w:rsidRPr="00ED0E0F" w:rsidRDefault="00ED0E0F" w:rsidP="00F16F2C">
            <w:pPr>
              <w:jc w:val="center"/>
              <w:rPr>
                <w:rFonts w:eastAsia="Times New Roman"/>
                <w:color w:val="000000"/>
              </w:rPr>
            </w:pPr>
            <w:r w:rsidRPr="00ED0E0F">
              <w:rPr>
                <w:rFonts w:eastAsia="Times New Roman"/>
                <w:color w:val="000000"/>
              </w:rPr>
              <w:t>2.2%</w:t>
            </w:r>
          </w:p>
        </w:tc>
        <w:tc>
          <w:tcPr>
            <w:tcW w:w="1232" w:type="dxa"/>
            <w:tcBorders>
              <w:top w:val="nil"/>
              <w:left w:val="nil"/>
              <w:bottom w:val="nil"/>
              <w:right w:val="nil"/>
            </w:tcBorders>
            <w:shd w:val="clear" w:color="auto" w:fill="auto"/>
            <w:noWrap/>
            <w:vAlign w:val="bottom"/>
            <w:hideMark/>
          </w:tcPr>
          <w:p w14:paraId="54FE510F" w14:textId="77777777" w:rsidR="00ED0E0F" w:rsidRPr="00ED0E0F" w:rsidRDefault="00ED0E0F" w:rsidP="00F16F2C">
            <w:pPr>
              <w:jc w:val="center"/>
              <w:rPr>
                <w:rFonts w:eastAsia="Times New Roman"/>
                <w:color w:val="000000"/>
              </w:rPr>
            </w:pPr>
            <w:r w:rsidRPr="00ED0E0F">
              <w:rPr>
                <w:rFonts w:eastAsia="Times New Roman"/>
                <w:color w:val="000000"/>
              </w:rPr>
              <w:t>194</w:t>
            </w:r>
          </w:p>
        </w:tc>
        <w:tc>
          <w:tcPr>
            <w:tcW w:w="1746" w:type="dxa"/>
            <w:tcBorders>
              <w:top w:val="nil"/>
              <w:left w:val="nil"/>
              <w:bottom w:val="nil"/>
              <w:right w:val="nil"/>
            </w:tcBorders>
            <w:shd w:val="clear" w:color="auto" w:fill="auto"/>
            <w:noWrap/>
            <w:vAlign w:val="bottom"/>
            <w:hideMark/>
          </w:tcPr>
          <w:p w14:paraId="3B788025" w14:textId="77777777" w:rsidR="00ED0E0F" w:rsidRPr="00ED0E0F" w:rsidRDefault="00ED0E0F" w:rsidP="00F16F2C">
            <w:pPr>
              <w:jc w:val="center"/>
              <w:rPr>
                <w:rFonts w:eastAsia="Times New Roman"/>
                <w:color w:val="000000"/>
              </w:rPr>
            </w:pPr>
            <w:r w:rsidRPr="00ED0E0F">
              <w:rPr>
                <w:rFonts w:eastAsia="Times New Roman"/>
                <w:color w:val="000000"/>
              </w:rPr>
              <w:t>3.7%</w:t>
            </w:r>
          </w:p>
        </w:tc>
        <w:tc>
          <w:tcPr>
            <w:tcW w:w="1485" w:type="dxa"/>
            <w:tcBorders>
              <w:top w:val="nil"/>
              <w:left w:val="nil"/>
              <w:bottom w:val="nil"/>
              <w:right w:val="nil"/>
            </w:tcBorders>
            <w:shd w:val="clear" w:color="auto" w:fill="auto"/>
            <w:noWrap/>
            <w:vAlign w:val="bottom"/>
            <w:hideMark/>
          </w:tcPr>
          <w:p w14:paraId="18D8E129" w14:textId="77777777" w:rsidR="00ED0E0F" w:rsidRPr="00ED0E0F" w:rsidRDefault="00ED0E0F" w:rsidP="00F16F2C">
            <w:pPr>
              <w:jc w:val="center"/>
              <w:rPr>
                <w:rFonts w:eastAsia="Times New Roman"/>
                <w:color w:val="000000"/>
              </w:rPr>
            </w:pPr>
            <w:r w:rsidRPr="00ED0E0F">
              <w:rPr>
                <w:rFonts w:eastAsia="Times New Roman"/>
                <w:color w:val="000000"/>
              </w:rPr>
              <w:t>41%</w:t>
            </w:r>
          </w:p>
        </w:tc>
      </w:tr>
      <w:tr w:rsidR="00ED0E0F" w:rsidRPr="00ED0E0F" w14:paraId="41FA57D3" w14:textId="77777777" w:rsidTr="00F16F2C">
        <w:trPr>
          <w:trHeight w:val="303"/>
        </w:trPr>
        <w:tc>
          <w:tcPr>
            <w:tcW w:w="1670" w:type="dxa"/>
            <w:tcBorders>
              <w:top w:val="nil"/>
              <w:left w:val="nil"/>
              <w:bottom w:val="nil"/>
              <w:right w:val="nil"/>
            </w:tcBorders>
            <w:shd w:val="clear" w:color="auto" w:fill="auto"/>
            <w:noWrap/>
            <w:vAlign w:val="bottom"/>
            <w:hideMark/>
          </w:tcPr>
          <w:p w14:paraId="40FDFA6B" w14:textId="77777777" w:rsidR="00ED0E0F" w:rsidRPr="00ED0E0F" w:rsidRDefault="00ED0E0F" w:rsidP="00F16F2C">
            <w:pPr>
              <w:rPr>
                <w:rFonts w:eastAsia="Times New Roman"/>
                <w:color w:val="000000"/>
              </w:rPr>
            </w:pPr>
            <w:r w:rsidRPr="00ED0E0F">
              <w:rPr>
                <w:rFonts w:eastAsia="Times New Roman"/>
                <w:color w:val="000000"/>
              </w:rPr>
              <w:t>65 to 74 years</w:t>
            </w:r>
          </w:p>
        </w:tc>
        <w:tc>
          <w:tcPr>
            <w:tcW w:w="1232" w:type="dxa"/>
            <w:tcBorders>
              <w:top w:val="nil"/>
              <w:left w:val="nil"/>
              <w:bottom w:val="nil"/>
              <w:right w:val="nil"/>
            </w:tcBorders>
            <w:shd w:val="clear" w:color="auto" w:fill="auto"/>
            <w:noWrap/>
            <w:vAlign w:val="bottom"/>
            <w:hideMark/>
          </w:tcPr>
          <w:p w14:paraId="6A7CBADA" w14:textId="77777777" w:rsidR="00ED0E0F" w:rsidRPr="00ED0E0F" w:rsidRDefault="00ED0E0F" w:rsidP="00F16F2C">
            <w:pPr>
              <w:jc w:val="center"/>
              <w:rPr>
                <w:rFonts w:eastAsia="Times New Roman"/>
                <w:color w:val="000000"/>
              </w:rPr>
            </w:pPr>
            <w:r w:rsidRPr="00ED0E0F">
              <w:rPr>
                <w:rFonts w:eastAsia="Times New Roman"/>
                <w:color w:val="000000"/>
              </w:rPr>
              <w:t>339</w:t>
            </w:r>
          </w:p>
        </w:tc>
        <w:tc>
          <w:tcPr>
            <w:tcW w:w="1746" w:type="dxa"/>
            <w:tcBorders>
              <w:top w:val="nil"/>
              <w:left w:val="nil"/>
              <w:bottom w:val="nil"/>
              <w:right w:val="nil"/>
            </w:tcBorders>
            <w:shd w:val="clear" w:color="auto" w:fill="auto"/>
            <w:noWrap/>
            <w:vAlign w:val="bottom"/>
            <w:hideMark/>
          </w:tcPr>
          <w:p w14:paraId="4E19312F" w14:textId="77777777" w:rsidR="00ED0E0F" w:rsidRPr="00ED0E0F" w:rsidRDefault="00ED0E0F" w:rsidP="00F16F2C">
            <w:pPr>
              <w:jc w:val="center"/>
              <w:rPr>
                <w:rFonts w:eastAsia="Times New Roman"/>
                <w:color w:val="000000"/>
              </w:rPr>
            </w:pPr>
            <w:r w:rsidRPr="00ED0E0F">
              <w:rPr>
                <w:rFonts w:eastAsia="Times New Roman"/>
                <w:color w:val="000000"/>
              </w:rPr>
              <w:t>6.7%</w:t>
            </w:r>
          </w:p>
        </w:tc>
        <w:tc>
          <w:tcPr>
            <w:tcW w:w="1232" w:type="dxa"/>
            <w:tcBorders>
              <w:top w:val="nil"/>
              <w:left w:val="nil"/>
              <w:bottom w:val="nil"/>
              <w:right w:val="nil"/>
            </w:tcBorders>
            <w:shd w:val="clear" w:color="auto" w:fill="auto"/>
            <w:noWrap/>
            <w:vAlign w:val="bottom"/>
            <w:hideMark/>
          </w:tcPr>
          <w:p w14:paraId="3780B8CF" w14:textId="77777777" w:rsidR="00ED0E0F" w:rsidRPr="00ED0E0F" w:rsidRDefault="00ED0E0F" w:rsidP="00F16F2C">
            <w:pPr>
              <w:jc w:val="center"/>
              <w:rPr>
                <w:rFonts w:eastAsia="Times New Roman"/>
                <w:color w:val="000000"/>
              </w:rPr>
            </w:pPr>
            <w:r w:rsidRPr="00ED0E0F">
              <w:rPr>
                <w:rFonts w:eastAsia="Times New Roman"/>
                <w:color w:val="000000"/>
              </w:rPr>
              <w:t>260</w:t>
            </w:r>
          </w:p>
        </w:tc>
        <w:tc>
          <w:tcPr>
            <w:tcW w:w="1746" w:type="dxa"/>
            <w:tcBorders>
              <w:top w:val="nil"/>
              <w:left w:val="nil"/>
              <w:bottom w:val="nil"/>
              <w:right w:val="nil"/>
            </w:tcBorders>
            <w:shd w:val="clear" w:color="auto" w:fill="auto"/>
            <w:noWrap/>
            <w:vAlign w:val="bottom"/>
            <w:hideMark/>
          </w:tcPr>
          <w:p w14:paraId="603EA3C8" w14:textId="77777777" w:rsidR="00ED0E0F" w:rsidRPr="00ED0E0F" w:rsidRDefault="00ED0E0F" w:rsidP="00F16F2C">
            <w:pPr>
              <w:jc w:val="center"/>
              <w:rPr>
                <w:rFonts w:eastAsia="Times New Roman"/>
                <w:color w:val="000000"/>
              </w:rPr>
            </w:pPr>
            <w:r w:rsidRPr="00ED0E0F">
              <w:rPr>
                <w:rFonts w:eastAsia="Times New Roman"/>
                <w:color w:val="000000"/>
              </w:rPr>
              <w:t>4.9%</w:t>
            </w:r>
          </w:p>
        </w:tc>
        <w:tc>
          <w:tcPr>
            <w:tcW w:w="1485" w:type="dxa"/>
            <w:tcBorders>
              <w:top w:val="nil"/>
              <w:left w:val="nil"/>
              <w:bottom w:val="nil"/>
              <w:right w:val="nil"/>
            </w:tcBorders>
            <w:shd w:val="clear" w:color="auto" w:fill="auto"/>
            <w:noWrap/>
            <w:vAlign w:val="bottom"/>
            <w:hideMark/>
          </w:tcPr>
          <w:p w14:paraId="5E1E0D8A" w14:textId="77777777" w:rsidR="00ED0E0F" w:rsidRPr="00ED0E0F" w:rsidRDefault="00ED0E0F" w:rsidP="00F16F2C">
            <w:pPr>
              <w:jc w:val="center"/>
              <w:rPr>
                <w:rFonts w:eastAsia="Times New Roman"/>
                <w:color w:val="000000"/>
              </w:rPr>
            </w:pPr>
            <w:r w:rsidRPr="00ED0E0F">
              <w:rPr>
                <w:rFonts w:eastAsia="Times New Roman"/>
                <w:color w:val="000000"/>
              </w:rPr>
              <w:t>-30%</w:t>
            </w:r>
          </w:p>
        </w:tc>
      </w:tr>
      <w:tr w:rsidR="00ED0E0F" w:rsidRPr="00ED0E0F" w14:paraId="48B15E61" w14:textId="77777777" w:rsidTr="00F16F2C">
        <w:trPr>
          <w:trHeight w:val="303"/>
        </w:trPr>
        <w:tc>
          <w:tcPr>
            <w:tcW w:w="1670" w:type="dxa"/>
            <w:tcBorders>
              <w:top w:val="nil"/>
              <w:left w:val="nil"/>
              <w:bottom w:val="nil"/>
              <w:right w:val="nil"/>
            </w:tcBorders>
            <w:shd w:val="clear" w:color="auto" w:fill="auto"/>
            <w:noWrap/>
            <w:vAlign w:val="bottom"/>
            <w:hideMark/>
          </w:tcPr>
          <w:p w14:paraId="3C081AAF" w14:textId="77777777" w:rsidR="00ED0E0F" w:rsidRPr="00ED0E0F" w:rsidRDefault="00ED0E0F" w:rsidP="00F16F2C">
            <w:pPr>
              <w:rPr>
                <w:rFonts w:eastAsia="Times New Roman"/>
                <w:color w:val="000000"/>
              </w:rPr>
            </w:pPr>
            <w:r w:rsidRPr="00ED0E0F">
              <w:rPr>
                <w:rFonts w:eastAsia="Times New Roman"/>
                <w:color w:val="000000"/>
              </w:rPr>
              <w:t>75 to 84 years</w:t>
            </w:r>
          </w:p>
        </w:tc>
        <w:tc>
          <w:tcPr>
            <w:tcW w:w="1232" w:type="dxa"/>
            <w:tcBorders>
              <w:top w:val="nil"/>
              <w:left w:val="nil"/>
              <w:bottom w:val="nil"/>
              <w:right w:val="nil"/>
            </w:tcBorders>
            <w:shd w:val="clear" w:color="auto" w:fill="auto"/>
            <w:noWrap/>
            <w:vAlign w:val="bottom"/>
            <w:hideMark/>
          </w:tcPr>
          <w:p w14:paraId="1DF48E08" w14:textId="77777777" w:rsidR="00ED0E0F" w:rsidRPr="00ED0E0F" w:rsidRDefault="00ED0E0F" w:rsidP="00F16F2C">
            <w:pPr>
              <w:jc w:val="center"/>
              <w:rPr>
                <w:rFonts w:eastAsia="Times New Roman"/>
                <w:color w:val="000000"/>
              </w:rPr>
            </w:pPr>
            <w:r w:rsidRPr="00ED0E0F">
              <w:rPr>
                <w:rFonts w:eastAsia="Times New Roman"/>
                <w:color w:val="000000"/>
              </w:rPr>
              <w:t>343</w:t>
            </w:r>
          </w:p>
        </w:tc>
        <w:tc>
          <w:tcPr>
            <w:tcW w:w="1746" w:type="dxa"/>
            <w:tcBorders>
              <w:top w:val="nil"/>
              <w:left w:val="nil"/>
              <w:bottom w:val="nil"/>
              <w:right w:val="nil"/>
            </w:tcBorders>
            <w:shd w:val="clear" w:color="auto" w:fill="auto"/>
            <w:noWrap/>
            <w:vAlign w:val="bottom"/>
            <w:hideMark/>
          </w:tcPr>
          <w:p w14:paraId="49F9964F" w14:textId="77777777" w:rsidR="00ED0E0F" w:rsidRPr="00ED0E0F" w:rsidRDefault="00ED0E0F" w:rsidP="00F16F2C">
            <w:pPr>
              <w:jc w:val="center"/>
              <w:rPr>
                <w:rFonts w:eastAsia="Times New Roman"/>
                <w:color w:val="000000"/>
              </w:rPr>
            </w:pPr>
            <w:r w:rsidRPr="00ED0E0F">
              <w:rPr>
                <w:rFonts w:eastAsia="Times New Roman"/>
                <w:color w:val="000000"/>
              </w:rPr>
              <w:t>6.8%</w:t>
            </w:r>
          </w:p>
        </w:tc>
        <w:tc>
          <w:tcPr>
            <w:tcW w:w="1232" w:type="dxa"/>
            <w:tcBorders>
              <w:top w:val="nil"/>
              <w:left w:val="nil"/>
              <w:bottom w:val="nil"/>
              <w:right w:val="nil"/>
            </w:tcBorders>
            <w:shd w:val="clear" w:color="auto" w:fill="auto"/>
            <w:noWrap/>
            <w:vAlign w:val="bottom"/>
            <w:hideMark/>
          </w:tcPr>
          <w:p w14:paraId="07082088" w14:textId="77777777" w:rsidR="00ED0E0F" w:rsidRPr="00ED0E0F" w:rsidRDefault="00ED0E0F" w:rsidP="00F16F2C">
            <w:pPr>
              <w:jc w:val="center"/>
              <w:rPr>
                <w:rFonts w:eastAsia="Times New Roman"/>
                <w:color w:val="000000"/>
              </w:rPr>
            </w:pPr>
            <w:r w:rsidRPr="00ED0E0F">
              <w:rPr>
                <w:rFonts w:eastAsia="Times New Roman"/>
                <w:color w:val="000000"/>
              </w:rPr>
              <w:t>339</w:t>
            </w:r>
          </w:p>
        </w:tc>
        <w:tc>
          <w:tcPr>
            <w:tcW w:w="1746" w:type="dxa"/>
            <w:tcBorders>
              <w:top w:val="nil"/>
              <w:left w:val="nil"/>
              <w:bottom w:val="nil"/>
              <w:right w:val="nil"/>
            </w:tcBorders>
            <w:shd w:val="clear" w:color="auto" w:fill="auto"/>
            <w:noWrap/>
            <w:vAlign w:val="bottom"/>
            <w:hideMark/>
          </w:tcPr>
          <w:p w14:paraId="5DD4ADFD" w14:textId="77777777" w:rsidR="00ED0E0F" w:rsidRPr="00ED0E0F" w:rsidRDefault="00ED0E0F" w:rsidP="00F16F2C">
            <w:pPr>
              <w:jc w:val="center"/>
              <w:rPr>
                <w:rFonts w:eastAsia="Times New Roman"/>
                <w:color w:val="000000"/>
              </w:rPr>
            </w:pPr>
            <w:r w:rsidRPr="00ED0E0F">
              <w:rPr>
                <w:rFonts w:eastAsia="Times New Roman"/>
                <w:color w:val="000000"/>
              </w:rPr>
              <w:t>6.4%</w:t>
            </w:r>
          </w:p>
        </w:tc>
        <w:tc>
          <w:tcPr>
            <w:tcW w:w="1485" w:type="dxa"/>
            <w:tcBorders>
              <w:top w:val="nil"/>
              <w:left w:val="nil"/>
              <w:bottom w:val="nil"/>
              <w:right w:val="nil"/>
            </w:tcBorders>
            <w:shd w:val="clear" w:color="auto" w:fill="auto"/>
            <w:noWrap/>
            <w:vAlign w:val="bottom"/>
            <w:hideMark/>
          </w:tcPr>
          <w:p w14:paraId="43239FAC" w14:textId="77777777" w:rsidR="00ED0E0F" w:rsidRPr="00ED0E0F" w:rsidRDefault="00ED0E0F" w:rsidP="00F16F2C">
            <w:pPr>
              <w:jc w:val="center"/>
              <w:rPr>
                <w:rFonts w:eastAsia="Times New Roman"/>
                <w:color w:val="000000"/>
              </w:rPr>
            </w:pPr>
            <w:r w:rsidRPr="00ED0E0F">
              <w:rPr>
                <w:rFonts w:eastAsia="Times New Roman"/>
                <w:color w:val="000000"/>
              </w:rPr>
              <w:t>-1%</w:t>
            </w:r>
          </w:p>
        </w:tc>
      </w:tr>
      <w:tr w:rsidR="00ED0E0F" w:rsidRPr="00ED0E0F" w14:paraId="28995B4B" w14:textId="77777777" w:rsidTr="00F16F2C">
        <w:trPr>
          <w:trHeight w:val="303"/>
        </w:trPr>
        <w:tc>
          <w:tcPr>
            <w:tcW w:w="1670" w:type="dxa"/>
            <w:tcBorders>
              <w:top w:val="nil"/>
              <w:left w:val="nil"/>
              <w:bottom w:val="nil"/>
              <w:right w:val="nil"/>
            </w:tcBorders>
            <w:shd w:val="clear" w:color="auto" w:fill="auto"/>
            <w:noWrap/>
            <w:vAlign w:val="bottom"/>
            <w:hideMark/>
          </w:tcPr>
          <w:p w14:paraId="577E815C" w14:textId="77777777" w:rsidR="00ED0E0F" w:rsidRPr="00ED0E0F" w:rsidRDefault="00ED0E0F" w:rsidP="00F16F2C">
            <w:pPr>
              <w:rPr>
                <w:rFonts w:eastAsia="Times New Roman"/>
                <w:color w:val="000000"/>
              </w:rPr>
            </w:pPr>
            <w:r w:rsidRPr="00ED0E0F">
              <w:rPr>
                <w:rFonts w:eastAsia="Times New Roman"/>
                <w:color w:val="000000"/>
              </w:rPr>
              <w:t>85 years and over</w:t>
            </w:r>
          </w:p>
        </w:tc>
        <w:tc>
          <w:tcPr>
            <w:tcW w:w="1232" w:type="dxa"/>
            <w:tcBorders>
              <w:top w:val="nil"/>
              <w:left w:val="nil"/>
              <w:bottom w:val="nil"/>
              <w:right w:val="nil"/>
            </w:tcBorders>
            <w:shd w:val="clear" w:color="auto" w:fill="auto"/>
            <w:noWrap/>
            <w:vAlign w:val="bottom"/>
            <w:hideMark/>
          </w:tcPr>
          <w:p w14:paraId="2B358342" w14:textId="77777777" w:rsidR="00ED0E0F" w:rsidRPr="00ED0E0F" w:rsidRDefault="00ED0E0F" w:rsidP="00F16F2C">
            <w:pPr>
              <w:jc w:val="center"/>
              <w:rPr>
                <w:rFonts w:eastAsia="Times New Roman"/>
                <w:color w:val="000000"/>
              </w:rPr>
            </w:pPr>
            <w:r w:rsidRPr="00ED0E0F">
              <w:rPr>
                <w:rFonts w:eastAsia="Times New Roman"/>
                <w:color w:val="000000"/>
              </w:rPr>
              <w:t>138</w:t>
            </w:r>
          </w:p>
        </w:tc>
        <w:tc>
          <w:tcPr>
            <w:tcW w:w="1746" w:type="dxa"/>
            <w:tcBorders>
              <w:top w:val="nil"/>
              <w:left w:val="nil"/>
              <w:bottom w:val="nil"/>
              <w:right w:val="nil"/>
            </w:tcBorders>
            <w:shd w:val="clear" w:color="auto" w:fill="auto"/>
            <w:noWrap/>
            <w:vAlign w:val="bottom"/>
            <w:hideMark/>
          </w:tcPr>
          <w:p w14:paraId="3EF956D7" w14:textId="77777777" w:rsidR="00ED0E0F" w:rsidRPr="00ED0E0F" w:rsidRDefault="00ED0E0F" w:rsidP="00F16F2C">
            <w:pPr>
              <w:jc w:val="center"/>
              <w:rPr>
                <w:rFonts w:eastAsia="Times New Roman"/>
                <w:color w:val="000000"/>
              </w:rPr>
            </w:pPr>
            <w:r w:rsidRPr="00ED0E0F">
              <w:rPr>
                <w:rFonts w:eastAsia="Times New Roman"/>
                <w:color w:val="000000"/>
              </w:rPr>
              <w:t>2.7</w:t>
            </w:r>
          </w:p>
        </w:tc>
        <w:tc>
          <w:tcPr>
            <w:tcW w:w="1232" w:type="dxa"/>
            <w:tcBorders>
              <w:top w:val="nil"/>
              <w:left w:val="nil"/>
              <w:bottom w:val="nil"/>
              <w:right w:val="nil"/>
            </w:tcBorders>
            <w:shd w:val="clear" w:color="auto" w:fill="auto"/>
            <w:noWrap/>
            <w:vAlign w:val="bottom"/>
            <w:hideMark/>
          </w:tcPr>
          <w:p w14:paraId="7E85441A" w14:textId="77777777" w:rsidR="00ED0E0F" w:rsidRPr="00ED0E0F" w:rsidRDefault="00ED0E0F" w:rsidP="00F16F2C">
            <w:pPr>
              <w:jc w:val="center"/>
              <w:rPr>
                <w:rFonts w:eastAsia="Times New Roman"/>
                <w:color w:val="000000"/>
              </w:rPr>
            </w:pPr>
            <w:r w:rsidRPr="00ED0E0F">
              <w:rPr>
                <w:rFonts w:eastAsia="Times New Roman"/>
                <w:color w:val="000000"/>
              </w:rPr>
              <w:t>251</w:t>
            </w:r>
          </w:p>
        </w:tc>
        <w:tc>
          <w:tcPr>
            <w:tcW w:w="1746" w:type="dxa"/>
            <w:tcBorders>
              <w:top w:val="nil"/>
              <w:left w:val="nil"/>
              <w:bottom w:val="nil"/>
              <w:right w:val="nil"/>
            </w:tcBorders>
            <w:shd w:val="clear" w:color="auto" w:fill="auto"/>
            <w:noWrap/>
            <w:vAlign w:val="bottom"/>
            <w:hideMark/>
          </w:tcPr>
          <w:p w14:paraId="59929D05" w14:textId="77777777" w:rsidR="00ED0E0F" w:rsidRPr="00ED0E0F" w:rsidRDefault="00ED0E0F" w:rsidP="00F16F2C">
            <w:pPr>
              <w:jc w:val="center"/>
              <w:rPr>
                <w:rFonts w:eastAsia="Times New Roman"/>
                <w:color w:val="000000"/>
              </w:rPr>
            </w:pPr>
            <w:r w:rsidRPr="00ED0E0F">
              <w:rPr>
                <w:rFonts w:eastAsia="Times New Roman"/>
                <w:color w:val="000000"/>
              </w:rPr>
              <w:t>4.7</w:t>
            </w:r>
          </w:p>
        </w:tc>
        <w:tc>
          <w:tcPr>
            <w:tcW w:w="1485" w:type="dxa"/>
            <w:tcBorders>
              <w:top w:val="nil"/>
              <w:left w:val="nil"/>
              <w:bottom w:val="nil"/>
              <w:right w:val="nil"/>
            </w:tcBorders>
            <w:shd w:val="clear" w:color="auto" w:fill="auto"/>
            <w:noWrap/>
            <w:vAlign w:val="bottom"/>
            <w:hideMark/>
          </w:tcPr>
          <w:p w14:paraId="689EA128" w14:textId="77777777" w:rsidR="00ED0E0F" w:rsidRPr="00ED0E0F" w:rsidRDefault="00ED0E0F" w:rsidP="00F16F2C">
            <w:pPr>
              <w:jc w:val="center"/>
              <w:rPr>
                <w:rFonts w:eastAsia="Times New Roman"/>
                <w:color w:val="000000"/>
              </w:rPr>
            </w:pPr>
            <w:r w:rsidRPr="00ED0E0F">
              <w:rPr>
                <w:rFonts w:eastAsia="Times New Roman"/>
                <w:color w:val="000000"/>
              </w:rPr>
              <w:t>45%</w:t>
            </w:r>
          </w:p>
        </w:tc>
      </w:tr>
      <w:tr w:rsidR="00ED0E0F" w:rsidRPr="00ED0E0F" w14:paraId="137F2C54" w14:textId="77777777" w:rsidTr="00F16F2C">
        <w:trPr>
          <w:trHeight w:val="303"/>
        </w:trPr>
        <w:tc>
          <w:tcPr>
            <w:tcW w:w="1670" w:type="dxa"/>
            <w:tcBorders>
              <w:top w:val="nil"/>
              <w:left w:val="nil"/>
              <w:bottom w:val="nil"/>
              <w:right w:val="nil"/>
            </w:tcBorders>
            <w:shd w:val="clear" w:color="auto" w:fill="auto"/>
            <w:noWrap/>
            <w:vAlign w:val="bottom"/>
            <w:hideMark/>
          </w:tcPr>
          <w:p w14:paraId="1E5004F8" w14:textId="77777777" w:rsidR="00ED0E0F" w:rsidRPr="00ED0E0F" w:rsidRDefault="00ED0E0F" w:rsidP="00F16F2C">
            <w:pPr>
              <w:rPr>
                <w:rFonts w:eastAsia="Times New Roman"/>
                <w:color w:val="000000"/>
              </w:rPr>
            </w:pPr>
            <w:r w:rsidRPr="00ED0E0F">
              <w:rPr>
                <w:rFonts w:eastAsia="Times New Roman"/>
                <w:color w:val="000000"/>
              </w:rPr>
              <w:t>Total</w:t>
            </w:r>
          </w:p>
        </w:tc>
        <w:tc>
          <w:tcPr>
            <w:tcW w:w="1232" w:type="dxa"/>
            <w:tcBorders>
              <w:top w:val="nil"/>
              <w:left w:val="nil"/>
              <w:bottom w:val="nil"/>
              <w:right w:val="nil"/>
            </w:tcBorders>
            <w:shd w:val="clear" w:color="auto" w:fill="auto"/>
            <w:noWrap/>
            <w:vAlign w:val="bottom"/>
            <w:hideMark/>
          </w:tcPr>
          <w:p w14:paraId="7EDB64D3" w14:textId="77777777" w:rsidR="00ED0E0F" w:rsidRPr="00ED0E0F" w:rsidRDefault="00ED0E0F" w:rsidP="00F16F2C">
            <w:pPr>
              <w:jc w:val="center"/>
              <w:rPr>
                <w:rFonts w:eastAsia="Times New Roman"/>
                <w:color w:val="000000"/>
              </w:rPr>
            </w:pPr>
            <w:r w:rsidRPr="00ED0E0F">
              <w:rPr>
                <w:rFonts w:eastAsia="Times New Roman"/>
                <w:color w:val="000000"/>
              </w:rPr>
              <w:t>5068</w:t>
            </w:r>
          </w:p>
        </w:tc>
        <w:tc>
          <w:tcPr>
            <w:tcW w:w="1746" w:type="dxa"/>
            <w:tcBorders>
              <w:top w:val="nil"/>
              <w:left w:val="nil"/>
              <w:bottom w:val="nil"/>
              <w:right w:val="nil"/>
            </w:tcBorders>
            <w:shd w:val="clear" w:color="auto" w:fill="auto"/>
            <w:noWrap/>
            <w:vAlign w:val="bottom"/>
            <w:hideMark/>
          </w:tcPr>
          <w:p w14:paraId="41B7DE79" w14:textId="77777777" w:rsidR="00ED0E0F" w:rsidRPr="00ED0E0F" w:rsidRDefault="00ED0E0F" w:rsidP="00F16F2C">
            <w:pPr>
              <w:jc w:val="center"/>
              <w:rPr>
                <w:rFonts w:eastAsia="Times New Roman"/>
                <w:color w:val="000000"/>
              </w:rPr>
            </w:pPr>
            <w:r w:rsidRPr="00ED0E0F">
              <w:rPr>
                <w:rFonts w:eastAsia="Times New Roman"/>
                <w:color w:val="000000"/>
              </w:rPr>
              <w:t>100%</w:t>
            </w:r>
          </w:p>
        </w:tc>
        <w:tc>
          <w:tcPr>
            <w:tcW w:w="1232" w:type="dxa"/>
            <w:tcBorders>
              <w:top w:val="nil"/>
              <w:left w:val="nil"/>
              <w:bottom w:val="nil"/>
              <w:right w:val="nil"/>
            </w:tcBorders>
            <w:shd w:val="clear" w:color="auto" w:fill="auto"/>
            <w:noWrap/>
            <w:vAlign w:val="bottom"/>
            <w:hideMark/>
          </w:tcPr>
          <w:p w14:paraId="45DEB07B" w14:textId="77777777" w:rsidR="00ED0E0F" w:rsidRPr="00ED0E0F" w:rsidRDefault="00ED0E0F" w:rsidP="00F16F2C">
            <w:pPr>
              <w:jc w:val="center"/>
              <w:rPr>
                <w:rFonts w:eastAsia="Times New Roman"/>
                <w:color w:val="000000"/>
              </w:rPr>
            </w:pPr>
            <w:r w:rsidRPr="00ED0E0F">
              <w:rPr>
                <w:rFonts w:eastAsia="Times New Roman"/>
                <w:color w:val="000000"/>
              </w:rPr>
              <w:t>5286</w:t>
            </w:r>
          </w:p>
        </w:tc>
        <w:tc>
          <w:tcPr>
            <w:tcW w:w="1746" w:type="dxa"/>
            <w:tcBorders>
              <w:top w:val="nil"/>
              <w:left w:val="nil"/>
              <w:bottom w:val="nil"/>
              <w:right w:val="nil"/>
            </w:tcBorders>
            <w:shd w:val="clear" w:color="auto" w:fill="auto"/>
            <w:noWrap/>
            <w:vAlign w:val="bottom"/>
            <w:hideMark/>
          </w:tcPr>
          <w:p w14:paraId="0B254770" w14:textId="77777777" w:rsidR="00ED0E0F" w:rsidRPr="00ED0E0F" w:rsidRDefault="00ED0E0F" w:rsidP="00F16F2C">
            <w:pPr>
              <w:jc w:val="center"/>
              <w:rPr>
                <w:rFonts w:eastAsia="Times New Roman"/>
                <w:color w:val="000000"/>
              </w:rPr>
            </w:pPr>
            <w:r w:rsidRPr="00ED0E0F">
              <w:rPr>
                <w:rFonts w:eastAsia="Times New Roman"/>
                <w:color w:val="000000"/>
              </w:rPr>
              <w:t>100%</w:t>
            </w:r>
          </w:p>
        </w:tc>
        <w:tc>
          <w:tcPr>
            <w:tcW w:w="1485" w:type="dxa"/>
            <w:tcBorders>
              <w:top w:val="nil"/>
              <w:left w:val="nil"/>
              <w:bottom w:val="nil"/>
              <w:right w:val="nil"/>
            </w:tcBorders>
            <w:shd w:val="clear" w:color="auto" w:fill="auto"/>
            <w:noWrap/>
            <w:vAlign w:val="bottom"/>
            <w:hideMark/>
          </w:tcPr>
          <w:p w14:paraId="3032449E" w14:textId="77777777" w:rsidR="00ED0E0F" w:rsidRPr="00ED0E0F" w:rsidRDefault="00ED0E0F" w:rsidP="00F16F2C">
            <w:pPr>
              <w:jc w:val="center"/>
              <w:rPr>
                <w:rFonts w:eastAsia="Times New Roman"/>
                <w:color w:val="000000"/>
              </w:rPr>
            </w:pPr>
            <w:r w:rsidRPr="00ED0E0F">
              <w:rPr>
                <w:rFonts w:eastAsia="Times New Roman"/>
                <w:color w:val="000000"/>
              </w:rPr>
              <w:t>4%</w:t>
            </w:r>
          </w:p>
        </w:tc>
      </w:tr>
    </w:tbl>
    <w:p w14:paraId="10D45E92" w14:textId="77777777" w:rsidR="00ED0E0F" w:rsidRPr="00ED0E0F" w:rsidRDefault="00ED0E0F" w:rsidP="00ED0E0F">
      <w:pPr>
        <w:rPr>
          <w:b/>
        </w:rPr>
      </w:pPr>
    </w:p>
    <w:p w14:paraId="3E3CC887" w14:textId="4B09063C" w:rsidR="00ED0E0F" w:rsidRPr="00ED0E0F" w:rsidRDefault="00ED0E0F" w:rsidP="00ED0E0F">
      <w:r w:rsidRPr="00ED0E0F">
        <w:t>Table 6 shows Morris</w:t>
      </w:r>
      <w:r>
        <w:t>’</w:t>
      </w:r>
      <w:r w:rsidRPr="00ED0E0F">
        <w:t xml:space="preserve"> population breakdown by age cohorts for the years 2000 and 2010. In ten years, the most dramatic changes occurred in the 55 to 59 years cohort, which increased by 42%, the 60 to 64 years cohort, which increased by 41%, and t</w:t>
      </w:r>
      <w:r>
        <w:t xml:space="preserve">he </w:t>
      </w:r>
      <w:r w:rsidRPr="00ED0E0F">
        <w:t xml:space="preserve">65 to 74 years cohort, which decreased by 30%. </w:t>
      </w:r>
    </w:p>
    <w:tbl>
      <w:tblPr>
        <w:tblW w:w="8435" w:type="dxa"/>
        <w:tblInd w:w="93" w:type="dxa"/>
        <w:tblLook w:val="04A0" w:firstRow="1" w:lastRow="0" w:firstColumn="1" w:lastColumn="0" w:noHBand="0" w:noVBand="1"/>
      </w:tblPr>
      <w:tblGrid>
        <w:gridCol w:w="1935"/>
        <w:gridCol w:w="1300"/>
        <w:gridCol w:w="1300"/>
        <w:gridCol w:w="1300"/>
        <w:gridCol w:w="1300"/>
        <w:gridCol w:w="1300"/>
      </w:tblGrid>
      <w:tr w:rsidR="00ED0E0F" w:rsidRPr="00ED0E0F" w14:paraId="1EDB4A56" w14:textId="77777777" w:rsidTr="00F16F2C">
        <w:trPr>
          <w:trHeight w:val="300"/>
        </w:trPr>
        <w:tc>
          <w:tcPr>
            <w:tcW w:w="1935" w:type="dxa"/>
            <w:tcBorders>
              <w:top w:val="nil"/>
              <w:left w:val="nil"/>
              <w:bottom w:val="nil"/>
              <w:right w:val="nil"/>
            </w:tcBorders>
            <w:shd w:val="clear" w:color="auto" w:fill="auto"/>
            <w:noWrap/>
            <w:vAlign w:val="bottom"/>
            <w:hideMark/>
          </w:tcPr>
          <w:p w14:paraId="3CE5B371" w14:textId="77777777" w:rsidR="00ED0E0F" w:rsidRPr="00ED0E0F" w:rsidRDefault="00ED0E0F" w:rsidP="00F16F2C">
            <w:pPr>
              <w:rPr>
                <w:rFonts w:eastAsia="Times New Roman"/>
                <w:color w:val="000000"/>
              </w:rPr>
            </w:pPr>
          </w:p>
        </w:tc>
        <w:tc>
          <w:tcPr>
            <w:tcW w:w="1300" w:type="dxa"/>
            <w:tcBorders>
              <w:top w:val="nil"/>
              <w:left w:val="nil"/>
              <w:bottom w:val="nil"/>
              <w:right w:val="nil"/>
            </w:tcBorders>
            <w:shd w:val="clear" w:color="auto" w:fill="auto"/>
            <w:noWrap/>
            <w:vAlign w:val="bottom"/>
            <w:hideMark/>
          </w:tcPr>
          <w:p w14:paraId="5321CC11" w14:textId="77777777" w:rsidR="00ED0E0F" w:rsidRPr="00ED0E0F" w:rsidRDefault="00ED0E0F" w:rsidP="00F16F2C">
            <w:pPr>
              <w:rPr>
                <w:rFonts w:eastAsia="Times New Roman"/>
                <w:color w:val="000000"/>
              </w:rPr>
            </w:pPr>
          </w:p>
        </w:tc>
        <w:tc>
          <w:tcPr>
            <w:tcW w:w="3900" w:type="dxa"/>
            <w:gridSpan w:val="3"/>
            <w:tcBorders>
              <w:top w:val="nil"/>
              <w:left w:val="nil"/>
              <w:bottom w:val="nil"/>
              <w:right w:val="nil"/>
            </w:tcBorders>
            <w:shd w:val="clear" w:color="auto" w:fill="auto"/>
            <w:noWrap/>
            <w:vAlign w:val="center"/>
            <w:hideMark/>
          </w:tcPr>
          <w:p w14:paraId="529E9618" w14:textId="77777777" w:rsidR="00ED0E0F" w:rsidRPr="00ED0E0F" w:rsidRDefault="00ED0E0F" w:rsidP="00F16F2C">
            <w:pPr>
              <w:rPr>
                <w:rFonts w:eastAsia="Times New Roman"/>
                <w:color w:val="000000"/>
              </w:rPr>
            </w:pPr>
          </w:p>
          <w:p w14:paraId="28F10278" w14:textId="77777777" w:rsidR="00ED0E0F" w:rsidRPr="00ED0E0F" w:rsidRDefault="00ED0E0F" w:rsidP="00F16F2C">
            <w:pPr>
              <w:rPr>
                <w:rFonts w:eastAsia="Times New Roman"/>
                <w:color w:val="000000"/>
              </w:rPr>
            </w:pPr>
          </w:p>
          <w:p w14:paraId="40F870B6" w14:textId="77777777" w:rsidR="00ED0E0F" w:rsidRPr="00ED0E0F" w:rsidRDefault="00ED0E0F" w:rsidP="00F16F2C">
            <w:pPr>
              <w:rPr>
                <w:rFonts w:eastAsia="Times New Roman"/>
                <w:color w:val="000000"/>
              </w:rPr>
            </w:pPr>
          </w:p>
          <w:p w14:paraId="1608DC06" w14:textId="77777777" w:rsidR="00ED0E0F" w:rsidRPr="00ED0E0F" w:rsidRDefault="00ED0E0F" w:rsidP="00F16F2C">
            <w:pPr>
              <w:rPr>
                <w:rFonts w:eastAsia="Times New Roman"/>
                <w:color w:val="000000"/>
              </w:rPr>
            </w:pPr>
          </w:p>
          <w:p w14:paraId="6CED86DA" w14:textId="77777777" w:rsidR="00ED0E0F" w:rsidRPr="00ED0E0F" w:rsidRDefault="00ED0E0F" w:rsidP="00F16F2C">
            <w:pPr>
              <w:rPr>
                <w:rFonts w:eastAsia="Times New Roman"/>
                <w:color w:val="000000"/>
              </w:rPr>
            </w:pPr>
          </w:p>
          <w:p w14:paraId="6F5B4DA2" w14:textId="77777777" w:rsidR="00ED0E0F" w:rsidRPr="00ED0E0F" w:rsidRDefault="00ED0E0F" w:rsidP="00F16F2C">
            <w:pPr>
              <w:rPr>
                <w:rFonts w:eastAsia="Times New Roman"/>
                <w:b/>
                <w:color w:val="000000"/>
              </w:rPr>
            </w:pPr>
          </w:p>
          <w:p w14:paraId="1CBE242F" w14:textId="77777777" w:rsidR="00ED0E0F" w:rsidRPr="00ED0E0F" w:rsidRDefault="00ED0E0F" w:rsidP="00F16F2C">
            <w:pPr>
              <w:jc w:val="center"/>
              <w:rPr>
                <w:rFonts w:eastAsia="Times New Roman"/>
                <w:b/>
                <w:color w:val="000000"/>
              </w:rPr>
            </w:pPr>
            <w:r w:rsidRPr="00ED0E0F">
              <w:rPr>
                <w:rFonts w:eastAsia="Times New Roman"/>
                <w:b/>
                <w:color w:val="000000"/>
              </w:rPr>
              <w:t>Table 7</w:t>
            </w:r>
          </w:p>
          <w:p w14:paraId="457EDAF1" w14:textId="77777777" w:rsidR="00ED0E0F" w:rsidRPr="00ED0E0F" w:rsidRDefault="00ED0E0F" w:rsidP="00F16F2C">
            <w:pPr>
              <w:jc w:val="center"/>
              <w:rPr>
                <w:rFonts w:eastAsia="Times New Roman"/>
                <w:color w:val="000000"/>
              </w:rPr>
            </w:pPr>
            <w:r w:rsidRPr="00ED0E0F">
              <w:rPr>
                <w:rFonts w:eastAsia="Times New Roman"/>
                <w:b/>
                <w:color w:val="000000"/>
              </w:rPr>
              <w:t>UMM Student Enrollment</w:t>
            </w:r>
          </w:p>
        </w:tc>
        <w:tc>
          <w:tcPr>
            <w:tcW w:w="1300" w:type="dxa"/>
            <w:tcBorders>
              <w:top w:val="nil"/>
              <w:left w:val="nil"/>
              <w:bottom w:val="nil"/>
              <w:right w:val="nil"/>
            </w:tcBorders>
            <w:shd w:val="clear" w:color="auto" w:fill="auto"/>
            <w:noWrap/>
            <w:vAlign w:val="bottom"/>
            <w:hideMark/>
          </w:tcPr>
          <w:p w14:paraId="2EA22E69" w14:textId="77777777" w:rsidR="00ED0E0F" w:rsidRPr="00ED0E0F" w:rsidRDefault="00ED0E0F" w:rsidP="00F16F2C">
            <w:pPr>
              <w:rPr>
                <w:rFonts w:eastAsia="Times New Roman"/>
                <w:color w:val="000000"/>
              </w:rPr>
            </w:pPr>
          </w:p>
        </w:tc>
      </w:tr>
      <w:tr w:rsidR="00ED0E0F" w:rsidRPr="00ED0E0F" w14:paraId="634DBAA9" w14:textId="77777777" w:rsidTr="00F16F2C">
        <w:trPr>
          <w:trHeight w:val="300"/>
        </w:trPr>
        <w:tc>
          <w:tcPr>
            <w:tcW w:w="1935" w:type="dxa"/>
            <w:tcBorders>
              <w:top w:val="nil"/>
              <w:left w:val="nil"/>
              <w:bottom w:val="nil"/>
              <w:right w:val="nil"/>
            </w:tcBorders>
            <w:shd w:val="clear" w:color="auto" w:fill="auto"/>
            <w:noWrap/>
            <w:vAlign w:val="bottom"/>
            <w:hideMark/>
          </w:tcPr>
          <w:p w14:paraId="5DBF9710" w14:textId="77777777" w:rsidR="00ED0E0F" w:rsidRPr="00ED0E0F" w:rsidRDefault="00ED0E0F" w:rsidP="00F16F2C">
            <w:pPr>
              <w:rPr>
                <w:rFonts w:eastAsia="Times New Roman"/>
                <w:color w:val="000000"/>
              </w:rPr>
            </w:pPr>
            <w:r w:rsidRPr="00ED0E0F">
              <w:rPr>
                <w:rFonts w:eastAsia="Times New Roman"/>
                <w:color w:val="000000"/>
              </w:rPr>
              <w:t>Year</w:t>
            </w:r>
          </w:p>
        </w:tc>
        <w:tc>
          <w:tcPr>
            <w:tcW w:w="1300" w:type="dxa"/>
            <w:tcBorders>
              <w:top w:val="nil"/>
              <w:left w:val="nil"/>
              <w:bottom w:val="nil"/>
              <w:right w:val="nil"/>
            </w:tcBorders>
            <w:shd w:val="clear" w:color="auto" w:fill="auto"/>
            <w:noWrap/>
            <w:vAlign w:val="bottom"/>
            <w:hideMark/>
          </w:tcPr>
          <w:p w14:paraId="1A132824" w14:textId="77777777" w:rsidR="00ED0E0F" w:rsidRPr="00ED0E0F" w:rsidRDefault="00ED0E0F" w:rsidP="00F16F2C">
            <w:pPr>
              <w:rPr>
                <w:rFonts w:eastAsia="Times New Roman"/>
                <w:color w:val="000000"/>
                <w:u w:val="single"/>
              </w:rPr>
            </w:pPr>
            <w:r w:rsidRPr="00ED0E0F">
              <w:rPr>
                <w:rFonts w:eastAsia="Times New Roman"/>
                <w:color w:val="000000"/>
                <w:u w:val="single"/>
              </w:rPr>
              <w:t>2003-04</w:t>
            </w:r>
          </w:p>
        </w:tc>
        <w:tc>
          <w:tcPr>
            <w:tcW w:w="1300" w:type="dxa"/>
            <w:tcBorders>
              <w:top w:val="nil"/>
              <w:left w:val="nil"/>
              <w:bottom w:val="nil"/>
              <w:right w:val="nil"/>
            </w:tcBorders>
            <w:shd w:val="clear" w:color="auto" w:fill="auto"/>
            <w:noWrap/>
            <w:vAlign w:val="bottom"/>
            <w:hideMark/>
          </w:tcPr>
          <w:p w14:paraId="6BF7B30F" w14:textId="77777777" w:rsidR="00ED0E0F" w:rsidRPr="00ED0E0F" w:rsidRDefault="00ED0E0F" w:rsidP="00F16F2C">
            <w:pPr>
              <w:rPr>
                <w:rFonts w:eastAsia="Times New Roman"/>
                <w:color w:val="000000"/>
                <w:u w:val="single"/>
              </w:rPr>
            </w:pPr>
            <w:r w:rsidRPr="00ED0E0F">
              <w:rPr>
                <w:rFonts w:eastAsia="Times New Roman"/>
                <w:color w:val="000000"/>
                <w:u w:val="single"/>
              </w:rPr>
              <w:t>2004-05</w:t>
            </w:r>
          </w:p>
        </w:tc>
        <w:tc>
          <w:tcPr>
            <w:tcW w:w="1300" w:type="dxa"/>
            <w:tcBorders>
              <w:top w:val="nil"/>
              <w:left w:val="nil"/>
              <w:bottom w:val="nil"/>
              <w:right w:val="nil"/>
            </w:tcBorders>
            <w:shd w:val="clear" w:color="auto" w:fill="auto"/>
            <w:noWrap/>
            <w:vAlign w:val="bottom"/>
            <w:hideMark/>
          </w:tcPr>
          <w:p w14:paraId="189D3951" w14:textId="77777777" w:rsidR="00ED0E0F" w:rsidRPr="00ED0E0F" w:rsidRDefault="00ED0E0F" w:rsidP="00F16F2C">
            <w:pPr>
              <w:rPr>
                <w:rFonts w:eastAsia="Times New Roman"/>
                <w:color w:val="000000"/>
                <w:u w:val="single"/>
              </w:rPr>
            </w:pPr>
            <w:r w:rsidRPr="00ED0E0F">
              <w:rPr>
                <w:rFonts w:eastAsia="Times New Roman"/>
                <w:color w:val="000000"/>
                <w:u w:val="single"/>
              </w:rPr>
              <w:t>2005-06</w:t>
            </w:r>
          </w:p>
        </w:tc>
        <w:tc>
          <w:tcPr>
            <w:tcW w:w="1300" w:type="dxa"/>
            <w:tcBorders>
              <w:top w:val="nil"/>
              <w:left w:val="nil"/>
              <w:bottom w:val="nil"/>
              <w:right w:val="nil"/>
            </w:tcBorders>
            <w:shd w:val="clear" w:color="auto" w:fill="auto"/>
            <w:noWrap/>
            <w:vAlign w:val="bottom"/>
            <w:hideMark/>
          </w:tcPr>
          <w:p w14:paraId="62AC9D6F" w14:textId="77777777" w:rsidR="00ED0E0F" w:rsidRPr="00ED0E0F" w:rsidRDefault="00ED0E0F" w:rsidP="00F16F2C">
            <w:pPr>
              <w:rPr>
                <w:rFonts w:eastAsia="Times New Roman"/>
                <w:color w:val="000000"/>
                <w:u w:val="single"/>
              </w:rPr>
            </w:pPr>
            <w:r w:rsidRPr="00ED0E0F">
              <w:rPr>
                <w:rFonts w:eastAsia="Times New Roman"/>
                <w:color w:val="000000"/>
                <w:u w:val="single"/>
              </w:rPr>
              <w:t>2006-07</w:t>
            </w:r>
          </w:p>
        </w:tc>
        <w:tc>
          <w:tcPr>
            <w:tcW w:w="1300" w:type="dxa"/>
            <w:tcBorders>
              <w:top w:val="nil"/>
              <w:left w:val="nil"/>
              <w:bottom w:val="nil"/>
              <w:right w:val="nil"/>
            </w:tcBorders>
            <w:shd w:val="clear" w:color="auto" w:fill="auto"/>
            <w:noWrap/>
            <w:vAlign w:val="bottom"/>
            <w:hideMark/>
          </w:tcPr>
          <w:p w14:paraId="13209055" w14:textId="77777777" w:rsidR="00ED0E0F" w:rsidRPr="00ED0E0F" w:rsidRDefault="00ED0E0F" w:rsidP="00F16F2C">
            <w:pPr>
              <w:rPr>
                <w:rFonts w:eastAsia="Times New Roman"/>
                <w:color w:val="000000"/>
                <w:u w:val="single"/>
              </w:rPr>
            </w:pPr>
            <w:r w:rsidRPr="00ED0E0F">
              <w:rPr>
                <w:rFonts w:eastAsia="Times New Roman"/>
                <w:color w:val="000000"/>
                <w:u w:val="single"/>
              </w:rPr>
              <w:t>2007-08</w:t>
            </w:r>
          </w:p>
        </w:tc>
      </w:tr>
      <w:tr w:rsidR="00ED0E0F" w:rsidRPr="00ED0E0F" w14:paraId="7585B3B6" w14:textId="77777777" w:rsidTr="00F16F2C">
        <w:trPr>
          <w:trHeight w:val="300"/>
        </w:trPr>
        <w:tc>
          <w:tcPr>
            <w:tcW w:w="1935" w:type="dxa"/>
            <w:tcBorders>
              <w:top w:val="nil"/>
              <w:left w:val="nil"/>
              <w:bottom w:val="nil"/>
              <w:right w:val="nil"/>
            </w:tcBorders>
            <w:shd w:val="clear" w:color="auto" w:fill="auto"/>
            <w:noWrap/>
            <w:vAlign w:val="bottom"/>
            <w:hideMark/>
          </w:tcPr>
          <w:p w14:paraId="37FEBE8F" w14:textId="77777777" w:rsidR="00ED0E0F" w:rsidRPr="00ED0E0F" w:rsidRDefault="00ED0E0F" w:rsidP="00F16F2C">
            <w:pPr>
              <w:rPr>
                <w:rFonts w:eastAsia="Times New Roman"/>
                <w:color w:val="000000"/>
              </w:rPr>
            </w:pPr>
            <w:r w:rsidRPr="00ED0E0F">
              <w:rPr>
                <w:rFonts w:eastAsia="Times New Roman"/>
                <w:color w:val="000000"/>
              </w:rPr>
              <w:t>Student Enrollment</w:t>
            </w:r>
          </w:p>
        </w:tc>
        <w:tc>
          <w:tcPr>
            <w:tcW w:w="1300" w:type="dxa"/>
            <w:tcBorders>
              <w:top w:val="nil"/>
              <w:left w:val="nil"/>
              <w:bottom w:val="nil"/>
              <w:right w:val="nil"/>
            </w:tcBorders>
            <w:shd w:val="clear" w:color="auto" w:fill="auto"/>
            <w:noWrap/>
            <w:vAlign w:val="bottom"/>
            <w:hideMark/>
          </w:tcPr>
          <w:p w14:paraId="42E153A2" w14:textId="77777777" w:rsidR="00ED0E0F" w:rsidRPr="00ED0E0F" w:rsidRDefault="00ED0E0F" w:rsidP="00F16F2C">
            <w:pPr>
              <w:rPr>
                <w:rFonts w:eastAsia="Times New Roman"/>
                <w:color w:val="000000"/>
              </w:rPr>
            </w:pPr>
            <w:r w:rsidRPr="00ED0E0F">
              <w:rPr>
                <w:rFonts w:eastAsia="Times New Roman"/>
                <w:color w:val="000000"/>
              </w:rPr>
              <w:t>1,872</w:t>
            </w:r>
          </w:p>
        </w:tc>
        <w:tc>
          <w:tcPr>
            <w:tcW w:w="1300" w:type="dxa"/>
            <w:tcBorders>
              <w:top w:val="nil"/>
              <w:left w:val="nil"/>
              <w:bottom w:val="nil"/>
              <w:right w:val="nil"/>
            </w:tcBorders>
            <w:shd w:val="clear" w:color="auto" w:fill="auto"/>
            <w:noWrap/>
            <w:vAlign w:val="bottom"/>
            <w:hideMark/>
          </w:tcPr>
          <w:p w14:paraId="595245F7" w14:textId="77777777" w:rsidR="00ED0E0F" w:rsidRPr="00ED0E0F" w:rsidRDefault="00ED0E0F" w:rsidP="00F16F2C">
            <w:pPr>
              <w:rPr>
                <w:rFonts w:eastAsia="Times New Roman"/>
                <w:color w:val="000000"/>
              </w:rPr>
            </w:pPr>
            <w:r w:rsidRPr="00ED0E0F">
              <w:rPr>
                <w:rFonts w:eastAsia="Times New Roman"/>
                <w:color w:val="000000"/>
              </w:rPr>
              <w:t>1,794</w:t>
            </w:r>
          </w:p>
        </w:tc>
        <w:tc>
          <w:tcPr>
            <w:tcW w:w="1300" w:type="dxa"/>
            <w:tcBorders>
              <w:top w:val="nil"/>
              <w:left w:val="nil"/>
              <w:bottom w:val="nil"/>
              <w:right w:val="nil"/>
            </w:tcBorders>
            <w:shd w:val="clear" w:color="auto" w:fill="auto"/>
            <w:noWrap/>
            <w:vAlign w:val="bottom"/>
            <w:hideMark/>
          </w:tcPr>
          <w:p w14:paraId="445305F2" w14:textId="77777777" w:rsidR="00ED0E0F" w:rsidRPr="00ED0E0F" w:rsidRDefault="00ED0E0F" w:rsidP="00F16F2C">
            <w:pPr>
              <w:rPr>
                <w:rFonts w:eastAsia="Times New Roman"/>
                <w:color w:val="000000"/>
              </w:rPr>
            </w:pPr>
            <w:r w:rsidRPr="00ED0E0F">
              <w:rPr>
                <w:rFonts w:eastAsia="Times New Roman"/>
                <w:color w:val="000000"/>
              </w:rPr>
              <w:t>1,673</w:t>
            </w:r>
          </w:p>
        </w:tc>
        <w:tc>
          <w:tcPr>
            <w:tcW w:w="1300" w:type="dxa"/>
            <w:tcBorders>
              <w:top w:val="nil"/>
              <w:left w:val="nil"/>
              <w:bottom w:val="nil"/>
              <w:right w:val="nil"/>
            </w:tcBorders>
            <w:shd w:val="clear" w:color="auto" w:fill="auto"/>
            <w:noWrap/>
            <w:vAlign w:val="bottom"/>
            <w:hideMark/>
          </w:tcPr>
          <w:p w14:paraId="4018005D" w14:textId="77777777" w:rsidR="00ED0E0F" w:rsidRPr="00ED0E0F" w:rsidRDefault="00ED0E0F" w:rsidP="00F16F2C">
            <w:pPr>
              <w:rPr>
                <w:rFonts w:eastAsia="Times New Roman"/>
                <w:color w:val="000000"/>
              </w:rPr>
            </w:pPr>
            <w:r w:rsidRPr="00ED0E0F">
              <w:rPr>
                <w:rFonts w:eastAsia="Times New Roman"/>
                <w:color w:val="000000"/>
              </w:rPr>
              <w:t>1,681</w:t>
            </w:r>
          </w:p>
        </w:tc>
        <w:tc>
          <w:tcPr>
            <w:tcW w:w="1300" w:type="dxa"/>
            <w:tcBorders>
              <w:top w:val="nil"/>
              <w:left w:val="nil"/>
              <w:bottom w:val="nil"/>
              <w:right w:val="nil"/>
            </w:tcBorders>
            <w:shd w:val="clear" w:color="auto" w:fill="auto"/>
            <w:noWrap/>
            <w:vAlign w:val="bottom"/>
            <w:hideMark/>
          </w:tcPr>
          <w:p w14:paraId="73D2B564" w14:textId="77777777" w:rsidR="00ED0E0F" w:rsidRPr="00ED0E0F" w:rsidRDefault="00ED0E0F" w:rsidP="00F16F2C">
            <w:pPr>
              <w:rPr>
                <w:rFonts w:eastAsia="Times New Roman"/>
                <w:color w:val="000000"/>
              </w:rPr>
            </w:pPr>
            <w:r w:rsidRPr="00ED0E0F">
              <w:rPr>
                <w:rFonts w:eastAsia="Times New Roman"/>
                <w:color w:val="000000"/>
              </w:rPr>
              <w:t>1,681</w:t>
            </w:r>
          </w:p>
        </w:tc>
      </w:tr>
    </w:tbl>
    <w:p w14:paraId="254C4D06" w14:textId="77777777" w:rsidR="00ED0E0F" w:rsidRPr="00ED0E0F" w:rsidRDefault="00ED0E0F" w:rsidP="00ED0E0F">
      <w:pPr>
        <w:rPr>
          <w:b/>
        </w:rPr>
      </w:pPr>
    </w:p>
    <w:p w14:paraId="7B33950D" w14:textId="77777777" w:rsidR="00ED0E0F" w:rsidRPr="00ED0E0F" w:rsidRDefault="00ED0E0F" w:rsidP="00ED0E0F">
      <w:r w:rsidRPr="00ED0E0F">
        <w:t xml:space="preserve">Table 7 shows UMM student enrollment from 2003 to 2008; there has been a gradual decrease in the number of student enrollment over the years. </w:t>
      </w:r>
    </w:p>
    <w:p w14:paraId="04EA0492" w14:textId="77777777" w:rsidR="00ED0E0F" w:rsidRPr="00ED0E0F" w:rsidRDefault="00ED0E0F" w:rsidP="00ED0E0F">
      <w:pPr>
        <w:rPr>
          <w:b/>
        </w:rPr>
      </w:pPr>
    </w:p>
    <w:p w14:paraId="20BDF76F" w14:textId="77777777" w:rsidR="00ED0E0F" w:rsidRPr="00ED0E0F" w:rsidRDefault="00ED0E0F" w:rsidP="00ED0E0F">
      <w:pPr>
        <w:rPr>
          <w:b/>
        </w:rPr>
      </w:pPr>
    </w:p>
    <w:p w14:paraId="32CA1F1D" w14:textId="77777777" w:rsidR="00ED0E0F" w:rsidRPr="00ED0E0F" w:rsidRDefault="00ED0E0F" w:rsidP="00ED0E0F">
      <w:pPr>
        <w:rPr>
          <w:b/>
        </w:rPr>
      </w:pPr>
    </w:p>
    <w:p w14:paraId="0F186172" w14:textId="77777777" w:rsidR="00ED0E0F" w:rsidRPr="00ED0E0F" w:rsidRDefault="00ED0E0F" w:rsidP="00ED0E0F">
      <w:pPr>
        <w:ind w:left="1440" w:firstLine="720"/>
        <w:rPr>
          <w:b/>
        </w:rPr>
      </w:pPr>
    </w:p>
    <w:p w14:paraId="355F17F3" w14:textId="77777777" w:rsidR="00ED0E0F" w:rsidRPr="00ED0E0F" w:rsidRDefault="00ED0E0F" w:rsidP="00ED0E0F">
      <w:pPr>
        <w:ind w:left="1440" w:firstLine="720"/>
        <w:rPr>
          <w:b/>
        </w:rPr>
      </w:pPr>
    </w:p>
    <w:p w14:paraId="1C268E56" w14:textId="77777777" w:rsidR="00ED0E0F" w:rsidRPr="00ED0E0F" w:rsidRDefault="00ED0E0F" w:rsidP="00ED0E0F">
      <w:pPr>
        <w:ind w:left="1440" w:firstLine="720"/>
        <w:rPr>
          <w:b/>
        </w:rPr>
      </w:pPr>
      <w:r w:rsidRPr="00ED0E0F">
        <w:rPr>
          <w:b/>
        </w:rPr>
        <w:t xml:space="preserve">Table 23 </w:t>
      </w:r>
    </w:p>
    <w:p w14:paraId="0E2F308B" w14:textId="77777777" w:rsidR="00ED0E0F" w:rsidRPr="00ED0E0F" w:rsidRDefault="00ED0E0F" w:rsidP="00ED0E0F">
      <w:pPr>
        <w:ind w:left="1440"/>
        <w:rPr>
          <w:b/>
        </w:rPr>
      </w:pPr>
      <w:r w:rsidRPr="00ED0E0F">
        <w:rPr>
          <w:b/>
        </w:rPr>
        <w:t xml:space="preserve">     Stevens County </w:t>
      </w:r>
    </w:p>
    <w:p w14:paraId="4365F9EC" w14:textId="77777777" w:rsidR="00ED0E0F" w:rsidRPr="00ED0E0F" w:rsidRDefault="00ED0E0F" w:rsidP="00ED0E0F">
      <w:pPr>
        <w:ind w:firstLine="720"/>
        <w:rPr>
          <w:b/>
        </w:rPr>
      </w:pPr>
      <w:r w:rsidRPr="00ED0E0F">
        <w:rPr>
          <w:b/>
        </w:rPr>
        <w:t>Total Per Capital Income (TPI)</w:t>
      </w:r>
    </w:p>
    <w:tbl>
      <w:tblPr>
        <w:tblW w:w="6460" w:type="dxa"/>
        <w:tblInd w:w="93" w:type="dxa"/>
        <w:tblLook w:val="04A0" w:firstRow="1" w:lastRow="0" w:firstColumn="1" w:lastColumn="0" w:noHBand="0" w:noVBand="1"/>
      </w:tblPr>
      <w:tblGrid>
        <w:gridCol w:w="2260"/>
        <w:gridCol w:w="2100"/>
        <w:gridCol w:w="2100"/>
      </w:tblGrid>
      <w:tr w:rsidR="00ED0E0F" w:rsidRPr="00ED0E0F" w14:paraId="2D4ECF94" w14:textId="77777777" w:rsidTr="00F16F2C">
        <w:trPr>
          <w:trHeight w:val="300"/>
        </w:trPr>
        <w:tc>
          <w:tcPr>
            <w:tcW w:w="2260" w:type="dxa"/>
            <w:tcBorders>
              <w:top w:val="nil"/>
              <w:left w:val="nil"/>
              <w:bottom w:val="nil"/>
              <w:right w:val="nil"/>
            </w:tcBorders>
            <w:shd w:val="clear" w:color="auto" w:fill="auto"/>
            <w:noWrap/>
            <w:vAlign w:val="bottom"/>
            <w:hideMark/>
          </w:tcPr>
          <w:p w14:paraId="3A3199C4" w14:textId="77777777" w:rsidR="00ED0E0F" w:rsidRPr="00ED0E0F" w:rsidRDefault="00ED0E0F" w:rsidP="00F16F2C">
            <w:pPr>
              <w:rPr>
                <w:rFonts w:eastAsia="Times New Roman"/>
                <w:color w:val="000000"/>
              </w:rPr>
            </w:pPr>
          </w:p>
        </w:tc>
        <w:tc>
          <w:tcPr>
            <w:tcW w:w="2100" w:type="dxa"/>
            <w:tcBorders>
              <w:top w:val="nil"/>
              <w:left w:val="nil"/>
              <w:bottom w:val="nil"/>
              <w:right w:val="nil"/>
            </w:tcBorders>
            <w:shd w:val="clear" w:color="auto" w:fill="auto"/>
            <w:noWrap/>
            <w:vAlign w:val="bottom"/>
            <w:hideMark/>
          </w:tcPr>
          <w:p w14:paraId="1BE4D58A" w14:textId="77777777" w:rsidR="00ED0E0F" w:rsidRPr="00ED0E0F" w:rsidRDefault="00ED0E0F" w:rsidP="00F16F2C">
            <w:pPr>
              <w:rPr>
                <w:rFonts w:eastAsia="Times New Roman"/>
                <w:color w:val="000000"/>
                <w:u w:val="single"/>
              </w:rPr>
            </w:pPr>
            <w:r w:rsidRPr="00ED0E0F">
              <w:rPr>
                <w:rFonts w:eastAsia="Times New Roman"/>
                <w:color w:val="000000"/>
                <w:u w:val="single"/>
              </w:rPr>
              <w:t>2000</w:t>
            </w:r>
          </w:p>
        </w:tc>
        <w:tc>
          <w:tcPr>
            <w:tcW w:w="2100" w:type="dxa"/>
            <w:tcBorders>
              <w:top w:val="nil"/>
              <w:left w:val="nil"/>
              <w:bottom w:val="nil"/>
              <w:right w:val="nil"/>
            </w:tcBorders>
            <w:shd w:val="clear" w:color="auto" w:fill="auto"/>
            <w:noWrap/>
            <w:vAlign w:val="bottom"/>
            <w:hideMark/>
          </w:tcPr>
          <w:p w14:paraId="34E0C0BD" w14:textId="77777777" w:rsidR="00ED0E0F" w:rsidRPr="00ED0E0F" w:rsidRDefault="00ED0E0F" w:rsidP="00F16F2C">
            <w:pPr>
              <w:rPr>
                <w:rFonts w:eastAsia="Times New Roman"/>
                <w:color w:val="000000"/>
                <w:u w:val="single"/>
              </w:rPr>
            </w:pPr>
            <w:r w:rsidRPr="00ED0E0F">
              <w:rPr>
                <w:rFonts w:eastAsia="Times New Roman"/>
                <w:color w:val="000000"/>
                <w:u w:val="single"/>
              </w:rPr>
              <w:t>2010</w:t>
            </w:r>
          </w:p>
        </w:tc>
      </w:tr>
      <w:tr w:rsidR="00ED0E0F" w:rsidRPr="00ED0E0F" w14:paraId="306626C4" w14:textId="77777777" w:rsidTr="00F16F2C">
        <w:trPr>
          <w:trHeight w:val="300"/>
        </w:trPr>
        <w:tc>
          <w:tcPr>
            <w:tcW w:w="2260" w:type="dxa"/>
            <w:tcBorders>
              <w:top w:val="nil"/>
              <w:left w:val="nil"/>
              <w:bottom w:val="nil"/>
              <w:right w:val="nil"/>
            </w:tcBorders>
            <w:shd w:val="clear" w:color="auto" w:fill="auto"/>
            <w:noWrap/>
            <w:vAlign w:val="bottom"/>
            <w:hideMark/>
          </w:tcPr>
          <w:p w14:paraId="437E2E17" w14:textId="77777777" w:rsidR="00ED0E0F" w:rsidRPr="00ED0E0F" w:rsidRDefault="00ED0E0F" w:rsidP="00F16F2C">
            <w:pPr>
              <w:rPr>
                <w:rFonts w:eastAsia="Times New Roman"/>
                <w:color w:val="000000"/>
              </w:rPr>
            </w:pPr>
            <w:r w:rsidRPr="00ED0E0F">
              <w:rPr>
                <w:rFonts w:eastAsia="Times New Roman"/>
                <w:color w:val="000000"/>
              </w:rPr>
              <w:t>Total PCPI</w:t>
            </w:r>
          </w:p>
        </w:tc>
        <w:tc>
          <w:tcPr>
            <w:tcW w:w="2100" w:type="dxa"/>
            <w:tcBorders>
              <w:top w:val="nil"/>
              <w:left w:val="nil"/>
              <w:bottom w:val="nil"/>
              <w:right w:val="nil"/>
            </w:tcBorders>
            <w:shd w:val="clear" w:color="auto" w:fill="auto"/>
            <w:noWrap/>
            <w:vAlign w:val="bottom"/>
            <w:hideMark/>
          </w:tcPr>
          <w:p w14:paraId="5ABB1394" w14:textId="77777777" w:rsidR="00ED0E0F" w:rsidRPr="00ED0E0F" w:rsidRDefault="00ED0E0F" w:rsidP="00F16F2C">
            <w:pPr>
              <w:rPr>
                <w:rFonts w:eastAsia="Times New Roman"/>
                <w:color w:val="000000"/>
              </w:rPr>
            </w:pPr>
            <w:r w:rsidRPr="00ED0E0F">
              <w:rPr>
                <w:rFonts w:eastAsia="Times New Roman"/>
                <w:color w:val="000000"/>
              </w:rPr>
              <w:t>$160,833,329</w:t>
            </w:r>
          </w:p>
        </w:tc>
        <w:tc>
          <w:tcPr>
            <w:tcW w:w="2100" w:type="dxa"/>
            <w:tcBorders>
              <w:top w:val="nil"/>
              <w:left w:val="nil"/>
              <w:bottom w:val="nil"/>
              <w:right w:val="nil"/>
            </w:tcBorders>
            <w:shd w:val="clear" w:color="auto" w:fill="auto"/>
            <w:noWrap/>
            <w:vAlign w:val="bottom"/>
            <w:hideMark/>
          </w:tcPr>
          <w:p w14:paraId="55EAEBD5" w14:textId="77777777" w:rsidR="00ED0E0F" w:rsidRPr="00ED0E0F" w:rsidRDefault="00ED0E0F" w:rsidP="00F16F2C">
            <w:pPr>
              <w:rPr>
                <w:rFonts w:eastAsia="Times New Roman"/>
                <w:color w:val="000000"/>
              </w:rPr>
            </w:pPr>
            <w:r w:rsidRPr="00ED0E0F">
              <w:rPr>
                <w:rFonts w:eastAsia="Times New Roman"/>
                <w:color w:val="000000"/>
              </w:rPr>
              <w:t>$227,287,890</w:t>
            </w:r>
          </w:p>
        </w:tc>
      </w:tr>
      <w:tr w:rsidR="00ED0E0F" w:rsidRPr="00ED0E0F" w14:paraId="00A702F8" w14:textId="77777777" w:rsidTr="00F16F2C">
        <w:trPr>
          <w:trHeight w:val="300"/>
        </w:trPr>
        <w:tc>
          <w:tcPr>
            <w:tcW w:w="2260" w:type="dxa"/>
            <w:tcBorders>
              <w:top w:val="nil"/>
              <w:left w:val="nil"/>
              <w:bottom w:val="nil"/>
              <w:right w:val="nil"/>
            </w:tcBorders>
            <w:shd w:val="clear" w:color="auto" w:fill="auto"/>
            <w:noWrap/>
            <w:vAlign w:val="bottom"/>
            <w:hideMark/>
          </w:tcPr>
          <w:p w14:paraId="59EA059E" w14:textId="77777777" w:rsidR="00ED0E0F" w:rsidRPr="00ED0E0F" w:rsidRDefault="00ED0E0F" w:rsidP="00F16F2C">
            <w:pPr>
              <w:rPr>
                <w:rFonts w:eastAsia="Times New Roman"/>
                <w:color w:val="000000"/>
              </w:rPr>
            </w:pPr>
            <w:r w:rsidRPr="00ED0E0F">
              <w:rPr>
                <w:rFonts w:eastAsia="Times New Roman"/>
                <w:color w:val="000000"/>
              </w:rPr>
              <w:t>State Ranking</w:t>
            </w:r>
          </w:p>
        </w:tc>
        <w:tc>
          <w:tcPr>
            <w:tcW w:w="2100" w:type="dxa"/>
            <w:tcBorders>
              <w:top w:val="nil"/>
              <w:left w:val="nil"/>
              <w:bottom w:val="nil"/>
              <w:right w:val="nil"/>
            </w:tcBorders>
            <w:shd w:val="clear" w:color="auto" w:fill="auto"/>
            <w:noWrap/>
            <w:vAlign w:val="bottom"/>
            <w:hideMark/>
          </w:tcPr>
          <w:p w14:paraId="01E66521" w14:textId="77777777" w:rsidR="00ED0E0F" w:rsidRPr="00ED0E0F" w:rsidRDefault="00ED0E0F" w:rsidP="00F16F2C">
            <w:pPr>
              <w:rPr>
                <w:rFonts w:eastAsia="Times New Roman"/>
                <w:color w:val="000000"/>
              </w:rPr>
            </w:pPr>
            <w:r w:rsidRPr="00ED0E0F">
              <w:rPr>
                <w:rFonts w:eastAsia="Times New Roman"/>
                <w:color w:val="000000"/>
              </w:rPr>
              <w:t>N/A</w:t>
            </w:r>
          </w:p>
        </w:tc>
        <w:tc>
          <w:tcPr>
            <w:tcW w:w="2100" w:type="dxa"/>
            <w:tcBorders>
              <w:top w:val="nil"/>
              <w:left w:val="nil"/>
              <w:bottom w:val="nil"/>
              <w:right w:val="nil"/>
            </w:tcBorders>
            <w:shd w:val="clear" w:color="auto" w:fill="auto"/>
            <w:noWrap/>
            <w:vAlign w:val="bottom"/>
            <w:hideMark/>
          </w:tcPr>
          <w:p w14:paraId="7EC25796" w14:textId="77777777" w:rsidR="00ED0E0F" w:rsidRPr="00ED0E0F" w:rsidRDefault="00ED0E0F" w:rsidP="00F16F2C">
            <w:pPr>
              <w:rPr>
                <w:rFonts w:eastAsia="Times New Roman"/>
                <w:color w:val="000000"/>
              </w:rPr>
            </w:pPr>
            <w:r w:rsidRPr="00ED0E0F">
              <w:rPr>
                <w:rFonts w:eastAsia="Times New Roman"/>
                <w:color w:val="000000"/>
              </w:rPr>
              <w:t>N/A</w:t>
            </w:r>
          </w:p>
        </w:tc>
      </w:tr>
      <w:tr w:rsidR="00ED0E0F" w:rsidRPr="00ED0E0F" w14:paraId="1EE2BB2B" w14:textId="77777777" w:rsidTr="00F16F2C">
        <w:trPr>
          <w:trHeight w:val="300"/>
        </w:trPr>
        <w:tc>
          <w:tcPr>
            <w:tcW w:w="2260" w:type="dxa"/>
            <w:tcBorders>
              <w:top w:val="nil"/>
              <w:left w:val="nil"/>
              <w:bottom w:val="nil"/>
              <w:right w:val="nil"/>
            </w:tcBorders>
            <w:shd w:val="clear" w:color="auto" w:fill="auto"/>
            <w:noWrap/>
            <w:vAlign w:val="bottom"/>
            <w:hideMark/>
          </w:tcPr>
          <w:p w14:paraId="222996AC" w14:textId="77777777" w:rsidR="00ED0E0F" w:rsidRPr="00ED0E0F" w:rsidRDefault="00ED0E0F" w:rsidP="00F16F2C">
            <w:pPr>
              <w:rPr>
                <w:rFonts w:eastAsia="Times New Roman"/>
                <w:color w:val="000000"/>
              </w:rPr>
            </w:pPr>
            <w:r w:rsidRPr="00ED0E0F">
              <w:rPr>
                <w:rFonts w:eastAsia="Times New Roman"/>
                <w:color w:val="000000"/>
              </w:rPr>
              <w:t>% State Total</w:t>
            </w:r>
          </w:p>
        </w:tc>
        <w:tc>
          <w:tcPr>
            <w:tcW w:w="2100" w:type="dxa"/>
            <w:tcBorders>
              <w:top w:val="nil"/>
              <w:left w:val="nil"/>
              <w:bottom w:val="nil"/>
              <w:right w:val="nil"/>
            </w:tcBorders>
            <w:shd w:val="clear" w:color="auto" w:fill="auto"/>
            <w:noWrap/>
            <w:vAlign w:val="bottom"/>
            <w:hideMark/>
          </w:tcPr>
          <w:p w14:paraId="30860F44" w14:textId="77777777" w:rsidR="00ED0E0F" w:rsidRPr="00ED0E0F" w:rsidRDefault="00ED0E0F" w:rsidP="00F16F2C">
            <w:pPr>
              <w:rPr>
                <w:rFonts w:eastAsia="Times New Roman"/>
                <w:color w:val="000000"/>
              </w:rPr>
            </w:pPr>
            <w:r w:rsidRPr="00ED0E0F">
              <w:rPr>
                <w:rFonts w:eastAsia="Times New Roman"/>
                <w:color w:val="000000"/>
              </w:rPr>
              <w:t>N/A</w:t>
            </w:r>
          </w:p>
        </w:tc>
        <w:tc>
          <w:tcPr>
            <w:tcW w:w="2100" w:type="dxa"/>
            <w:tcBorders>
              <w:top w:val="nil"/>
              <w:left w:val="nil"/>
              <w:bottom w:val="nil"/>
              <w:right w:val="nil"/>
            </w:tcBorders>
            <w:shd w:val="clear" w:color="auto" w:fill="auto"/>
            <w:noWrap/>
            <w:vAlign w:val="bottom"/>
            <w:hideMark/>
          </w:tcPr>
          <w:p w14:paraId="22046D53" w14:textId="77777777" w:rsidR="00ED0E0F" w:rsidRPr="00ED0E0F" w:rsidRDefault="00ED0E0F" w:rsidP="00F16F2C">
            <w:pPr>
              <w:rPr>
                <w:rFonts w:eastAsia="Times New Roman"/>
                <w:color w:val="000000"/>
              </w:rPr>
            </w:pPr>
            <w:r w:rsidRPr="00ED0E0F">
              <w:rPr>
                <w:rFonts w:eastAsia="Times New Roman"/>
                <w:color w:val="000000"/>
              </w:rPr>
              <w:t>N/A</w:t>
            </w:r>
          </w:p>
        </w:tc>
      </w:tr>
    </w:tbl>
    <w:p w14:paraId="7B3330AE" w14:textId="77777777" w:rsidR="00ED0E0F" w:rsidRPr="00ED0E0F" w:rsidRDefault="00ED0E0F" w:rsidP="00ED0E0F">
      <w:pPr>
        <w:rPr>
          <w:b/>
        </w:rPr>
      </w:pPr>
    </w:p>
    <w:p w14:paraId="75DF736A" w14:textId="344107F6" w:rsidR="00ED0E0F" w:rsidRPr="00ED0E0F" w:rsidRDefault="00ED0E0F" w:rsidP="00ED0E0F">
      <w:pPr>
        <w:rPr>
          <w:b/>
        </w:rPr>
      </w:pPr>
      <w:r w:rsidRPr="00ED0E0F">
        <w:rPr>
          <w:b/>
        </w:rPr>
        <w:t xml:space="preserve">Total Personal Income (TPI) </w:t>
      </w:r>
      <w:r w:rsidRPr="00ED0E0F">
        <w:t>Total personal income includes the earning wages and salaries, other labor income, and proprietors income; dividends, interest, and rent and transfer payments received by the residents of Stevens County. The total personal income of persons in Stevens County increased form $160,833,329 in 2000 to 4227,287,890 in 2010, an average growth rate 41.3 percent.</w:t>
      </w:r>
    </w:p>
    <w:p w14:paraId="185B96D5" w14:textId="77777777" w:rsidR="00ED0E0F" w:rsidRPr="00ED0E0F" w:rsidRDefault="00ED0E0F" w:rsidP="00ED0E0F">
      <w:pPr>
        <w:rPr>
          <w:b/>
        </w:rPr>
      </w:pPr>
    </w:p>
    <w:p w14:paraId="0CB61D75" w14:textId="77777777" w:rsidR="00ED0E0F" w:rsidRPr="00ED0E0F" w:rsidRDefault="00ED0E0F" w:rsidP="00ED0E0F">
      <w:pPr>
        <w:rPr>
          <w:b/>
        </w:rPr>
      </w:pPr>
    </w:p>
    <w:p w14:paraId="4194CE32" w14:textId="77777777" w:rsidR="00ED0E0F" w:rsidRPr="00ED0E0F" w:rsidRDefault="00ED0E0F" w:rsidP="00ED0E0F">
      <w:pPr>
        <w:jc w:val="center"/>
        <w:rPr>
          <w:b/>
        </w:rPr>
      </w:pPr>
      <w:r w:rsidRPr="00ED0E0F">
        <w:rPr>
          <w:b/>
        </w:rPr>
        <w:t>Table 24</w:t>
      </w:r>
    </w:p>
    <w:p w14:paraId="04B732F4" w14:textId="77777777" w:rsidR="00ED0E0F" w:rsidRPr="00ED0E0F" w:rsidRDefault="00ED0E0F" w:rsidP="00ED0E0F">
      <w:pPr>
        <w:jc w:val="center"/>
        <w:rPr>
          <w:b/>
        </w:rPr>
      </w:pPr>
      <w:r w:rsidRPr="00ED0E0F">
        <w:rPr>
          <w:b/>
        </w:rPr>
        <w:t>Stevens County Total Personal Income (TPI)</w:t>
      </w:r>
    </w:p>
    <w:p w14:paraId="032A6581" w14:textId="77777777" w:rsidR="00ED0E0F" w:rsidRPr="00ED0E0F" w:rsidRDefault="00ED0E0F" w:rsidP="00ED0E0F">
      <w:pPr>
        <w:jc w:val="center"/>
        <w:rPr>
          <w:b/>
        </w:rPr>
      </w:pPr>
      <w:r w:rsidRPr="00ED0E0F">
        <w:rPr>
          <w:b/>
        </w:rPr>
        <w:t>By Percentage Share</w:t>
      </w:r>
    </w:p>
    <w:tbl>
      <w:tblPr>
        <w:tblW w:w="6577" w:type="dxa"/>
        <w:tblInd w:w="93" w:type="dxa"/>
        <w:tblLayout w:type="fixed"/>
        <w:tblLook w:val="04A0" w:firstRow="1" w:lastRow="0" w:firstColumn="1" w:lastColumn="0" w:noHBand="0" w:noVBand="1"/>
      </w:tblPr>
      <w:tblGrid>
        <w:gridCol w:w="3333"/>
        <w:gridCol w:w="1371"/>
        <w:gridCol w:w="1873"/>
      </w:tblGrid>
      <w:tr w:rsidR="00ED0E0F" w:rsidRPr="00ED0E0F" w14:paraId="7437A40A" w14:textId="77777777" w:rsidTr="00F16F2C">
        <w:trPr>
          <w:trHeight w:val="308"/>
        </w:trPr>
        <w:tc>
          <w:tcPr>
            <w:tcW w:w="3333" w:type="dxa"/>
            <w:tcBorders>
              <w:top w:val="nil"/>
              <w:left w:val="nil"/>
              <w:bottom w:val="nil"/>
              <w:right w:val="nil"/>
            </w:tcBorders>
            <w:shd w:val="clear" w:color="auto" w:fill="auto"/>
            <w:noWrap/>
            <w:vAlign w:val="bottom"/>
            <w:hideMark/>
          </w:tcPr>
          <w:p w14:paraId="0C84B572" w14:textId="77777777" w:rsidR="00ED0E0F" w:rsidRPr="00ED0E0F" w:rsidRDefault="00ED0E0F" w:rsidP="00F16F2C">
            <w:pPr>
              <w:rPr>
                <w:rFonts w:eastAsia="Times New Roman"/>
                <w:color w:val="000000"/>
                <w:u w:val="single"/>
              </w:rPr>
            </w:pPr>
            <w:r w:rsidRPr="00ED0E0F">
              <w:rPr>
                <w:rFonts w:eastAsia="Times New Roman"/>
                <w:color w:val="000000"/>
                <w:u w:val="single"/>
              </w:rPr>
              <w:t>Share of TPI</w:t>
            </w:r>
          </w:p>
        </w:tc>
        <w:tc>
          <w:tcPr>
            <w:tcW w:w="1371" w:type="dxa"/>
            <w:tcBorders>
              <w:top w:val="nil"/>
              <w:left w:val="nil"/>
              <w:bottom w:val="nil"/>
              <w:right w:val="nil"/>
            </w:tcBorders>
            <w:shd w:val="clear" w:color="auto" w:fill="auto"/>
            <w:noWrap/>
            <w:vAlign w:val="bottom"/>
            <w:hideMark/>
          </w:tcPr>
          <w:p w14:paraId="5A319701" w14:textId="77777777" w:rsidR="00ED0E0F" w:rsidRPr="00ED0E0F" w:rsidRDefault="00ED0E0F" w:rsidP="00F16F2C">
            <w:pPr>
              <w:jc w:val="right"/>
              <w:rPr>
                <w:rFonts w:eastAsia="Times New Roman"/>
                <w:color w:val="000000"/>
                <w:u w:val="single"/>
              </w:rPr>
            </w:pPr>
            <w:r w:rsidRPr="00ED0E0F">
              <w:rPr>
                <w:rFonts w:eastAsia="Times New Roman"/>
                <w:color w:val="000000"/>
                <w:u w:val="single"/>
              </w:rPr>
              <w:t>2000</w:t>
            </w:r>
          </w:p>
        </w:tc>
        <w:tc>
          <w:tcPr>
            <w:tcW w:w="1873" w:type="dxa"/>
            <w:tcBorders>
              <w:top w:val="nil"/>
              <w:left w:val="nil"/>
              <w:bottom w:val="nil"/>
              <w:right w:val="nil"/>
            </w:tcBorders>
            <w:shd w:val="clear" w:color="auto" w:fill="auto"/>
            <w:noWrap/>
            <w:vAlign w:val="bottom"/>
            <w:hideMark/>
          </w:tcPr>
          <w:p w14:paraId="3B7AE1DD" w14:textId="77777777" w:rsidR="00ED0E0F" w:rsidRPr="00ED0E0F" w:rsidRDefault="00ED0E0F" w:rsidP="00F16F2C">
            <w:pPr>
              <w:jc w:val="right"/>
              <w:rPr>
                <w:rFonts w:eastAsia="Times New Roman"/>
                <w:color w:val="000000"/>
                <w:u w:val="single"/>
              </w:rPr>
            </w:pPr>
            <w:r w:rsidRPr="00ED0E0F">
              <w:rPr>
                <w:rFonts w:eastAsia="Times New Roman"/>
                <w:color w:val="000000"/>
                <w:u w:val="single"/>
              </w:rPr>
              <w:t>2010</w:t>
            </w:r>
          </w:p>
        </w:tc>
      </w:tr>
      <w:tr w:rsidR="00ED0E0F" w:rsidRPr="00ED0E0F" w14:paraId="14FC117A" w14:textId="77777777" w:rsidTr="00F16F2C">
        <w:trPr>
          <w:trHeight w:val="308"/>
        </w:trPr>
        <w:tc>
          <w:tcPr>
            <w:tcW w:w="3333" w:type="dxa"/>
            <w:tcBorders>
              <w:top w:val="nil"/>
              <w:left w:val="nil"/>
              <w:bottom w:val="nil"/>
              <w:right w:val="nil"/>
            </w:tcBorders>
            <w:shd w:val="clear" w:color="auto" w:fill="auto"/>
            <w:noWrap/>
            <w:vAlign w:val="bottom"/>
            <w:hideMark/>
          </w:tcPr>
          <w:p w14:paraId="159CFBC9" w14:textId="77777777" w:rsidR="00ED0E0F" w:rsidRPr="00ED0E0F" w:rsidRDefault="00ED0E0F" w:rsidP="00F16F2C">
            <w:pPr>
              <w:rPr>
                <w:rFonts w:eastAsia="Times New Roman"/>
                <w:color w:val="000000"/>
              </w:rPr>
            </w:pPr>
            <w:r w:rsidRPr="00ED0E0F">
              <w:rPr>
                <w:rFonts w:eastAsia="Times New Roman"/>
                <w:color w:val="000000"/>
              </w:rPr>
              <w:t>Net Earnings</w:t>
            </w:r>
          </w:p>
        </w:tc>
        <w:tc>
          <w:tcPr>
            <w:tcW w:w="1371" w:type="dxa"/>
            <w:tcBorders>
              <w:top w:val="nil"/>
              <w:left w:val="nil"/>
              <w:bottom w:val="nil"/>
              <w:right w:val="nil"/>
            </w:tcBorders>
            <w:shd w:val="clear" w:color="auto" w:fill="auto"/>
            <w:noWrap/>
            <w:vAlign w:val="bottom"/>
            <w:hideMark/>
          </w:tcPr>
          <w:p w14:paraId="42741414" w14:textId="77777777" w:rsidR="00ED0E0F" w:rsidRPr="00ED0E0F" w:rsidRDefault="00ED0E0F" w:rsidP="00F16F2C">
            <w:pPr>
              <w:jc w:val="right"/>
              <w:rPr>
                <w:rFonts w:eastAsia="Times New Roman"/>
                <w:color w:val="000000"/>
              </w:rPr>
            </w:pPr>
            <w:r w:rsidRPr="00ED0E0F">
              <w:rPr>
                <w:rFonts w:eastAsia="Times New Roman"/>
                <w:color w:val="000000"/>
              </w:rPr>
              <w:t>59%</w:t>
            </w:r>
          </w:p>
        </w:tc>
        <w:tc>
          <w:tcPr>
            <w:tcW w:w="1873" w:type="dxa"/>
            <w:tcBorders>
              <w:top w:val="nil"/>
              <w:left w:val="nil"/>
              <w:bottom w:val="nil"/>
              <w:right w:val="nil"/>
            </w:tcBorders>
            <w:shd w:val="clear" w:color="auto" w:fill="auto"/>
            <w:noWrap/>
            <w:vAlign w:val="bottom"/>
            <w:hideMark/>
          </w:tcPr>
          <w:p w14:paraId="7A3316BC" w14:textId="77777777" w:rsidR="00ED0E0F" w:rsidRPr="00ED0E0F" w:rsidRDefault="00ED0E0F" w:rsidP="00F16F2C">
            <w:pPr>
              <w:jc w:val="right"/>
              <w:rPr>
                <w:rFonts w:eastAsia="Times New Roman"/>
                <w:color w:val="000000"/>
              </w:rPr>
            </w:pPr>
            <w:r w:rsidRPr="00ED0E0F">
              <w:rPr>
                <w:rFonts w:eastAsia="Times New Roman"/>
                <w:color w:val="000000"/>
              </w:rPr>
              <w:t>62%</w:t>
            </w:r>
          </w:p>
        </w:tc>
      </w:tr>
      <w:tr w:rsidR="00ED0E0F" w:rsidRPr="00ED0E0F" w14:paraId="24BFD428" w14:textId="77777777" w:rsidTr="00F16F2C">
        <w:trPr>
          <w:trHeight w:val="308"/>
        </w:trPr>
        <w:tc>
          <w:tcPr>
            <w:tcW w:w="3333" w:type="dxa"/>
            <w:tcBorders>
              <w:top w:val="nil"/>
              <w:left w:val="nil"/>
              <w:bottom w:val="nil"/>
              <w:right w:val="nil"/>
            </w:tcBorders>
            <w:shd w:val="clear" w:color="auto" w:fill="auto"/>
            <w:noWrap/>
            <w:vAlign w:val="bottom"/>
            <w:hideMark/>
          </w:tcPr>
          <w:p w14:paraId="25372D72"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Dividends, interest, and rent</w:t>
            </w:r>
          </w:p>
        </w:tc>
        <w:tc>
          <w:tcPr>
            <w:tcW w:w="1371" w:type="dxa"/>
            <w:tcBorders>
              <w:top w:val="nil"/>
              <w:left w:val="nil"/>
              <w:bottom w:val="nil"/>
              <w:right w:val="nil"/>
            </w:tcBorders>
            <w:shd w:val="clear" w:color="auto" w:fill="auto"/>
            <w:noWrap/>
            <w:vAlign w:val="bottom"/>
            <w:hideMark/>
          </w:tcPr>
          <w:p w14:paraId="50D723C3" w14:textId="77777777" w:rsidR="00ED0E0F" w:rsidRPr="00ED0E0F" w:rsidRDefault="00ED0E0F" w:rsidP="00F16F2C">
            <w:pPr>
              <w:jc w:val="right"/>
              <w:rPr>
                <w:rFonts w:eastAsia="Times New Roman"/>
                <w:color w:val="000000"/>
              </w:rPr>
            </w:pPr>
            <w:r w:rsidRPr="00ED0E0F">
              <w:rPr>
                <w:rFonts w:eastAsia="Times New Roman"/>
                <w:color w:val="000000"/>
              </w:rPr>
              <w:t>26%</w:t>
            </w:r>
          </w:p>
        </w:tc>
        <w:tc>
          <w:tcPr>
            <w:tcW w:w="1873" w:type="dxa"/>
            <w:tcBorders>
              <w:top w:val="nil"/>
              <w:left w:val="nil"/>
              <w:bottom w:val="nil"/>
              <w:right w:val="nil"/>
            </w:tcBorders>
            <w:shd w:val="clear" w:color="auto" w:fill="auto"/>
            <w:noWrap/>
            <w:vAlign w:val="bottom"/>
            <w:hideMark/>
          </w:tcPr>
          <w:p w14:paraId="6883D644" w14:textId="77777777" w:rsidR="00ED0E0F" w:rsidRPr="00ED0E0F" w:rsidRDefault="00ED0E0F" w:rsidP="00F16F2C">
            <w:pPr>
              <w:jc w:val="right"/>
              <w:rPr>
                <w:rFonts w:eastAsia="Times New Roman"/>
                <w:color w:val="000000"/>
              </w:rPr>
            </w:pPr>
            <w:r w:rsidRPr="00ED0E0F">
              <w:rPr>
                <w:rFonts w:eastAsia="Times New Roman"/>
                <w:color w:val="000000"/>
              </w:rPr>
              <w:t>20%</w:t>
            </w:r>
          </w:p>
        </w:tc>
      </w:tr>
      <w:tr w:rsidR="00ED0E0F" w:rsidRPr="00ED0E0F" w14:paraId="2CD95B60" w14:textId="77777777" w:rsidTr="00F16F2C">
        <w:trPr>
          <w:trHeight w:val="308"/>
        </w:trPr>
        <w:tc>
          <w:tcPr>
            <w:tcW w:w="3333" w:type="dxa"/>
            <w:tcBorders>
              <w:top w:val="nil"/>
              <w:left w:val="nil"/>
              <w:bottom w:val="nil"/>
              <w:right w:val="nil"/>
            </w:tcBorders>
            <w:shd w:val="clear" w:color="auto" w:fill="auto"/>
            <w:noWrap/>
            <w:vAlign w:val="bottom"/>
            <w:hideMark/>
          </w:tcPr>
          <w:p w14:paraId="6E3ADA1F"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Personal current transfer receipts</w:t>
            </w:r>
          </w:p>
        </w:tc>
        <w:tc>
          <w:tcPr>
            <w:tcW w:w="1371" w:type="dxa"/>
            <w:tcBorders>
              <w:top w:val="nil"/>
              <w:left w:val="nil"/>
              <w:bottom w:val="nil"/>
              <w:right w:val="nil"/>
            </w:tcBorders>
            <w:shd w:val="clear" w:color="auto" w:fill="auto"/>
            <w:noWrap/>
            <w:vAlign w:val="bottom"/>
            <w:hideMark/>
          </w:tcPr>
          <w:p w14:paraId="62CEBE10" w14:textId="77777777" w:rsidR="00ED0E0F" w:rsidRPr="00ED0E0F" w:rsidRDefault="00ED0E0F" w:rsidP="00F16F2C">
            <w:pPr>
              <w:jc w:val="right"/>
              <w:rPr>
                <w:rFonts w:eastAsia="Times New Roman"/>
                <w:color w:val="000000"/>
              </w:rPr>
            </w:pPr>
            <w:r w:rsidRPr="00ED0E0F">
              <w:rPr>
                <w:rFonts w:eastAsia="Times New Roman"/>
                <w:color w:val="000000"/>
              </w:rPr>
              <w:t>15%</w:t>
            </w:r>
          </w:p>
        </w:tc>
        <w:tc>
          <w:tcPr>
            <w:tcW w:w="1873" w:type="dxa"/>
            <w:tcBorders>
              <w:top w:val="nil"/>
              <w:left w:val="nil"/>
              <w:bottom w:val="nil"/>
              <w:right w:val="nil"/>
            </w:tcBorders>
            <w:shd w:val="clear" w:color="auto" w:fill="auto"/>
            <w:noWrap/>
            <w:vAlign w:val="bottom"/>
            <w:hideMark/>
          </w:tcPr>
          <w:p w14:paraId="305E4DBF" w14:textId="77777777" w:rsidR="00ED0E0F" w:rsidRPr="00ED0E0F" w:rsidRDefault="00ED0E0F" w:rsidP="00F16F2C">
            <w:pPr>
              <w:jc w:val="right"/>
              <w:rPr>
                <w:rFonts w:eastAsia="Times New Roman"/>
                <w:color w:val="000000"/>
              </w:rPr>
            </w:pPr>
            <w:r w:rsidRPr="00ED0E0F">
              <w:rPr>
                <w:rFonts w:eastAsia="Times New Roman"/>
                <w:color w:val="000000"/>
              </w:rPr>
              <w:t>17%</w:t>
            </w:r>
          </w:p>
        </w:tc>
      </w:tr>
    </w:tbl>
    <w:p w14:paraId="29933430" w14:textId="77777777" w:rsidR="00ED0E0F" w:rsidRPr="00ED0E0F" w:rsidRDefault="00ED0E0F" w:rsidP="00ED0E0F">
      <w:pPr>
        <w:rPr>
          <w:b/>
        </w:rPr>
      </w:pPr>
    </w:p>
    <w:p w14:paraId="0F45E5C4" w14:textId="77777777" w:rsidR="00ED0E0F" w:rsidRPr="00ED0E0F" w:rsidRDefault="00ED0E0F" w:rsidP="00ED0E0F">
      <w:r w:rsidRPr="00ED0E0F">
        <w:t>In 2010, earnings constituted 62 percent of TPI (compared with 59 percent in 2000); dividends, interest and rent were 20 percent (compared with 26 percent in 2000); and transfer payments were 17 percent (compared with 15 percent in 2000).</w:t>
      </w:r>
    </w:p>
    <w:p w14:paraId="078C38E5" w14:textId="77777777" w:rsidR="00ED0E0F" w:rsidRPr="00ED0E0F" w:rsidRDefault="00ED0E0F" w:rsidP="00ED0E0F"/>
    <w:tbl>
      <w:tblPr>
        <w:tblW w:w="8967" w:type="dxa"/>
        <w:tblInd w:w="93" w:type="dxa"/>
        <w:tblLook w:val="04A0" w:firstRow="1" w:lastRow="0" w:firstColumn="1" w:lastColumn="0" w:noHBand="0" w:noVBand="1"/>
      </w:tblPr>
      <w:tblGrid>
        <w:gridCol w:w="6894"/>
        <w:gridCol w:w="1061"/>
        <w:gridCol w:w="1012"/>
      </w:tblGrid>
      <w:tr w:rsidR="00ED0E0F" w:rsidRPr="00ED0E0F" w14:paraId="7E0285CE" w14:textId="77777777" w:rsidTr="00F16F2C">
        <w:trPr>
          <w:trHeight w:val="311"/>
        </w:trPr>
        <w:tc>
          <w:tcPr>
            <w:tcW w:w="6894" w:type="dxa"/>
            <w:tcBorders>
              <w:top w:val="nil"/>
              <w:left w:val="nil"/>
              <w:bottom w:val="nil"/>
              <w:right w:val="nil"/>
            </w:tcBorders>
            <w:shd w:val="clear" w:color="auto" w:fill="auto"/>
            <w:noWrap/>
            <w:vAlign w:val="bottom"/>
            <w:hideMark/>
          </w:tcPr>
          <w:p w14:paraId="296F4E82" w14:textId="77777777" w:rsidR="00ED0E0F" w:rsidRPr="00ED0E0F" w:rsidRDefault="00ED0E0F" w:rsidP="00F16F2C">
            <w:pPr>
              <w:rPr>
                <w:rFonts w:eastAsia="Times New Roman"/>
                <w:b/>
                <w:color w:val="000000"/>
              </w:rPr>
            </w:pPr>
          </w:p>
          <w:p w14:paraId="2E23963D" w14:textId="77777777" w:rsidR="00ED0E0F" w:rsidRPr="00ED0E0F" w:rsidRDefault="00ED0E0F" w:rsidP="00F16F2C">
            <w:pPr>
              <w:rPr>
                <w:rFonts w:eastAsia="Times New Roman"/>
                <w:b/>
                <w:color w:val="000000"/>
              </w:rPr>
            </w:pPr>
          </w:p>
          <w:p w14:paraId="264760CD" w14:textId="77777777" w:rsidR="00ED0E0F" w:rsidRPr="00ED0E0F" w:rsidRDefault="00ED0E0F" w:rsidP="00F16F2C">
            <w:pPr>
              <w:rPr>
                <w:rFonts w:eastAsia="Times New Roman"/>
                <w:color w:val="000000"/>
                <w:u w:val="single"/>
              </w:rPr>
            </w:pPr>
          </w:p>
          <w:p w14:paraId="1B596C9F" w14:textId="77777777" w:rsidR="00ED0E0F" w:rsidRPr="00ED0E0F" w:rsidRDefault="00ED0E0F" w:rsidP="00F16F2C">
            <w:pPr>
              <w:rPr>
                <w:rFonts w:eastAsia="Times New Roman"/>
                <w:color w:val="000000"/>
                <w:u w:val="single"/>
              </w:rPr>
            </w:pPr>
          </w:p>
          <w:p w14:paraId="50A8C290" w14:textId="77777777" w:rsidR="00ED0E0F" w:rsidRPr="00ED0E0F" w:rsidRDefault="00ED0E0F" w:rsidP="00F16F2C">
            <w:pPr>
              <w:jc w:val="center"/>
              <w:rPr>
                <w:rFonts w:eastAsia="Times New Roman"/>
                <w:b/>
                <w:color w:val="000000"/>
              </w:rPr>
            </w:pPr>
            <w:r w:rsidRPr="00ED0E0F">
              <w:rPr>
                <w:rFonts w:eastAsia="Times New Roman"/>
                <w:b/>
                <w:color w:val="000000"/>
              </w:rPr>
              <w:t xml:space="preserve">                                         </w:t>
            </w:r>
          </w:p>
          <w:p w14:paraId="753CEDFE" w14:textId="77777777" w:rsidR="00ED0E0F" w:rsidRPr="00ED0E0F" w:rsidRDefault="00ED0E0F" w:rsidP="00F16F2C">
            <w:pPr>
              <w:jc w:val="center"/>
              <w:rPr>
                <w:rFonts w:eastAsia="Times New Roman"/>
                <w:b/>
                <w:color w:val="000000"/>
              </w:rPr>
            </w:pPr>
          </w:p>
          <w:p w14:paraId="3D8327C1" w14:textId="77777777" w:rsidR="00ED0E0F" w:rsidRPr="00ED0E0F" w:rsidRDefault="00ED0E0F" w:rsidP="00F16F2C">
            <w:pPr>
              <w:jc w:val="center"/>
              <w:rPr>
                <w:rFonts w:eastAsia="Times New Roman"/>
                <w:b/>
                <w:color w:val="000000"/>
              </w:rPr>
            </w:pPr>
          </w:p>
          <w:p w14:paraId="6B98E1F7" w14:textId="77777777" w:rsidR="00ED0E0F" w:rsidRPr="00ED0E0F" w:rsidRDefault="00ED0E0F" w:rsidP="00F16F2C">
            <w:pPr>
              <w:jc w:val="center"/>
              <w:rPr>
                <w:rFonts w:eastAsia="Times New Roman"/>
                <w:b/>
                <w:color w:val="000000"/>
              </w:rPr>
            </w:pPr>
          </w:p>
          <w:p w14:paraId="6321AC2D" w14:textId="77777777" w:rsidR="00ED0E0F" w:rsidRPr="00ED0E0F" w:rsidRDefault="00ED0E0F" w:rsidP="00F16F2C">
            <w:pPr>
              <w:jc w:val="center"/>
              <w:rPr>
                <w:rFonts w:eastAsia="Times New Roman"/>
                <w:b/>
                <w:color w:val="000000"/>
              </w:rPr>
            </w:pPr>
          </w:p>
          <w:p w14:paraId="1DD72679" w14:textId="77777777" w:rsidR="00ED0E0F" w:rsidRPr="00ED0E0F" w:rsidRDefault="00ED0E0F" w:rsidP="00F16F2C">
            <w:pPr>
              <w:jc w:val="center"/>
              <w:rPr>
                <w:rFonts w:eastAsia="Times New Roman"/>
                <w:b/>
                <w:color w:val="000000"/>
              </w:rPr>
            </w:pPr>
          </w:p>
          <w:p w14:paraId="61EBA78D" w14:textId="77777777" w:rsidR="00ED0E0F" w:rsidRPr="00ED0E0F" w:rsidRDefault="00ED0E0F" w:rsidP="00F16F2C">
            <w:pPr>
              <w:jc w:val="center"/>
              <w:rPr>
                <w:rFonts w:eastAsia="Times New Roman"/>
                <w:b/>
                <w:color w:val="000000"/>
              </w:rPr>
            </w:pPr>
          </w:p>
          <w:p w14:paraId="2887C3E3" w14:textId="77777777" w:rsidR="00ED0E0F" w:rsidRPr="00ED0E0F" w:rsidRDefault="00ED0E0F" w:rsidP="00F16F2C">
            <w:pPr>
              <w:jc w:val="center"/>
              <w:rPr>
                <w:rFonts w:eastAsia="Times New Roman"/>
                <w:b/>
                <w:color w:val="000000"/>
              </w:rPr>
            </w:pPr>
          </w:p>
          <w:p w14:paraId="7B729202" w14:textId="77777777" w:rsidR="00ED0E0F" w:rsidRPr="00ED0E0F" w:rsidRDefault="00ED0E0F" w:rsidP="00F16F2C">
            <w:pPr>
              <w:jc w:val="center"/>
              <w:rPr>
                <w:rFonts w:eastAsia="Times New Roman"/>
                <w:b/>
                <w:color w:val="000000"/>
              </w:rPr>
            </w:pPr>
          </w:p>
          <w:p w14:paraId="75585FEB" w14:textId="77777777" w:rsidR="00ED0E0F" w:rsidRPr="00ED0E0F" w:rsidRDefault="00ED0E0F" w:rsidP="00F16F2C">
            <w:pPr>
              <w:jc w:val="center"/>
              <w:rPr>
                <w:rFonts w:eastAsia="Times New Roman"/>
                <w:b/>
                <w:color w:val="000000"/>
              </w:rPr>
            </w:pPr>
          </w:p>
          <w:p w14:paraId="5A64AAB0" w14:textId="77777777" w:rsidR="00ED0E0F" w:rsidRPr="00ED0E0F" w:rsidRDefault="00ED0E0F" w:rsidP="00F16F2C">
            <w:pPr>
              <w:jc w:val="center"/>
              <w:rPr>
                <w:rFonts w:eastAsia="Times New Roman"/>
                <w:b/>
                <w:color w:val="000000"/>
              </w:rPr>
            </w:pPr>
          </w:p>
          <w:p w14:paraId="62F50690" w14:textId="77777777" w:rsidR="00ED0E0F" w:rsidRPr="00ED0E0F" w:rsidRDefault="00ED0E0F" w:rsidP="00F16F2C">
            <w:pPr>
              <w:jc w:val="center"/>
              <w:rPr>
                <w:rFonts w:eastAsia="Times New Roman"/>
                <w:b/>
                <w:color w:val="000000"/>
              </w:rPr>
            </w:pPr>
          </w:p>
          <w:p w14:paraId="146B0DDD" w14:textId="77777777" w:rsidR="00ED0E0F" w:rsidRDefault="00ED0E0F" w:rsidP="00F16F2C">
            <w:pPr>
              <w:jc w:val="center"/>
              <w:rPr>
                <w:rFonts w:eastAsia="Times New Roman"/>
                <w:b/>
                <w:color w:val="000000"/>
              </w:rPr>
            </w:pPr>
          </w:p>
          <w:p w14:paraId="6D09C057" w14:textId="77777777" w:rsidR="00ED0E0F" w:rsidRPr="00ED0E0F" w:rsidRDefault="00ED0E0F" w:rsidP="00F16F2C">
            <w:pPr>
              <w:jc w:val="center"/>
              <w:rPr>
                <w:rFonts w:eastAsia="Times New Roman"/>
                <w:b/>
                <w:color w:val="000000"/>
              </w:rPr>
            </w:pPr>
            <w:r w:rsidRPr="00ED0E0F">
              <w:rPr>
                <w:rFonts w:eastAsia="Times New Roman"/>
                <w:b/>
                <w:color w:val="000000"/>
              </w:rPr>
              <w:t>Table 27</w:t>
            </w:r>
          </w:p>
          <w:p w14:paraId="2A24B761" w14:textId="77777777" w:rsidR="00ED0E0F" w:rsidRPr="00ED0E0F" w:rsidRDefault="00ED0E0F" w:rsidP="00F16F2C">
            <w:pPr>
              <w:jc w:val="right"/>
              <w:rPr>
                <w:rFonts w:eastAsia="Times New Roman"/>
                <w:b/>
                <w:color w:val="000000"/>
              </w:rPr>
            </w:pPr>
            <w:r w:rsidRPr="00ED0E0F">
              <w:rPr>
                <w:rFonts w:eastAsia="Times New Roman"/>
                <w:b/>
                <w:color w:val="000000"/>
              </w:rPr>
              <w:t>Stevens County Entities By Category in 2010</w:t>
            </w:r>
          </w:p>
          <w:p w14:paraId="5D9BBBC2" w14:textId="77777777" w:rsidR="00ED0E0F" w:rsidRPr="00ED0E0F" w:rsidRDefault="00ED0E0F" w:rsidP="00F16F2C">
            <w:pPr>
              <w:rPr>
                <w:rFonts w:eastAsia="Times New Roman"/>
                <w:color w:val="000000"/>
                <w:u w:val="single"/>
              </w:rPr>
            </w:pPr>
          </w:p>
          <w:p w14:paraId="3A7EF22B" w14:textId="77777777" w:rsidR="00ED0E0F" w:rsidRPr="00ED0E0F" w:rsidRDefault="00ED0E0F" w:rsidP="00F16F2C">
            <w:pPr>
              <w:rPr>
                <w:rFonts w:eastAsia="Times New Roman"/>
                <w:color w:val="000000"/>
                <w:u w:val="single"/>
              </w:rPr>
            </w:pPr>
            <w:r w:rsidRPr="00ED0E0F">
              <w:rPr>
                <w:rFonts w:eastAsia="Times New Roman"/>
                <w:color w:val="000000"/>
                <w:u w:val="single"/>
              </w:rPr>
              <w:t>Category</w:t>
            </w:r>
          </w:p>
        </w:tc>
        <w:tc>
          <w:tcPr>
            <w:tcW w:w="1061" w:type="dxa"/>
            <w:tcBorders>
              <w:top w:val="nil"/>
              <w:left w:val="nil"/>
              <w:bottom w:val="nil"/>
              <w:right w:val="nil"/>
            </w:tcBorders>
            <w:shd w:val="clear" w:color="auto" w:fill="auto"/>
            <w:noWrap/>
            <w:vAlign w:val="bottom"/>
            <w:hideMark/>
          </w:tcPr>
          <w:p w14:paraId="331D3CA8" w14:textId="77777777" w:rsidR="00ED0E0F" w:rsidRPr="00ED0E0F" w:rsidRDefault="00ED0E0F" w:rsidP="00F16F2C">
            <w:pPr>
              <w:rPr>
                <w:rFonts w:eastAsia="Times New Roman"/>
                <w:color w:val="000000"/>
                <w:u w:val="single"/>
              </w:rPr>
            </w:pPr>
          </w:p>
          <w:p w14:paraId="03ACB521" w14:textId="77777777" w:rsidR="00ED0E0F" w:rsidRPr="00ED0E0F" w:rsidRDefault="00ED0E0F" w:rsidP="00F16F2C">
            <w:pPr>
              <w:rPr>
                <w:rFonts w:eastAsia="Times New Roman"/>
                <w:color w:val="000000"/>
                <w:u w:val="single"/>
              </w:rPr>
            </w:pPr>
          </w:p>
          <w:p w14:paraId="13AD5A07" w14:textId="77777777" w:rsidR="00ED0E0F" w:rsidRPr="00ED0E0F" w:rsidRDefault="00ED0E0F" w:rsidP="00F16F2C">
            <w:pPr>
              <w:rPr>
                <w:rFonts w:eastAsia="Times New Roman"/>
                <w:color w:val="000000"/>
                <w:u w:val="single"/>
              </w:rPr>
            </w:pPr>
          </w:p>
          <w:p w14:paraId="7C638A5E" w14:textId="77777777" w:rsidR="00ED0E0F" w:rsidRPr="00ED0E0F" w:rsidRDefault="00ED0E0F" w:rsidP="00F16F2C">
            <w:pPr>
              <w:rPr>
                <w:rFonts w:eastAsia="Times New Roman"/>
                <w:color w:val="000000"/>
                <w:u w:val="single"/>
              </w:rPr>
            </w:pPr>
          </w:p>
          <w:p w14:paraId="11C03176" w14:textId="77777777" w:rsidR="00ED0E0F" w:rsidRPr="00ED0E0F" w:rsidRDefault="00ED0E0F" w:rsidP="00F16F2C">
            <w:pPr>
              <w:rPr>
                <w:rFonts w:eastAsia="Times New Roman"/>
                <w:color w:val="000000"/>
                <w:u w:val="single"/>
              </w:rPr>
            </w:pPr>
          </w:p>
          <w:p w14:paraId="15363258" w14:textId="77777777" w:rsidR="00ED0E0F" w:rsidRPr="00ED0E0F" w:rsidRDefault="00ED0E0F" w:rsidP="00F16F2C">
            <w:pPr>
              <w:rPr>
                <w:rFonts w:eastAsia="Times New Roman"/>
                <w:color w:val="000000"/>
                <w:u w:val="single"/>
              </w:rPr>
            </w:pPr>
          </w:p>
          <w:p w14:paraId="5B360F77" w14:textId="77777777" w:rsidR="00ED0E0F" w:rsidRPr="00ED0E0F" w:rsidRDefault="00ED0E0F" w:rsidP="00F16F2C">
            <w:pPr>
              <w:rPr>
                <w:rFonts w:eastAsia="Times New Roman"/>
                <w:color w:val="000000"/>
                <w:u w:val="single"/>
              </w:rPr>
            </w:pPr>
          </w:p>
          <w:p w14:paraId="43FC3C98" w14:textId="77777777" w:rsidR="00ED0E0F" w:rsidRPr="00ED0E0F" w:rsidRDefault="00ED0E0F" w:rsidP="00F16F2C">
            <w:pPr>
              <w:rPr>
                <w:rFonts w:eastAsia="Times New Roman"/>
                <w:color w:val="000000"/>
                <w:u w:val="single"/>
              </w:rPr>
            </w:pPr>
          </w:p>
          <w:p w14:paraId="3EAD706E" w14:textId="77777777" w:rsidR="00ED0E0F" w:rsidRPr="00ED0E0F" w:rsidRDefault="00ED0E0F" w:rsidP="00F16F2C">
            <w:pPr>
              <w:rPr>
                <w:rFonts w:eastAsia="Times New Roman"/>
                <w:color w:val="000000"/>
                <w:u w:val="single"/>
              </w:rPr>
            </w:pPr>
          </w:p>
          <w:p w14:paraId="1EBF044E" w14:textId="77777777" w:rsidR="00ED0E0F" w:rsidRPr="00ED0E0F" w:rsidRDefault="00ED0E0F" w:rsidP="00F16F2C">
            <w:pPr>
              <w:jc w:val="right"/>
              <w:rPr>
                <w:rFonts w:eastAsia="Times New Roman"/>
                <w:color w:val="000000"/>
                <w:u w:val="single"/>
              </w:rPr>
            </w:pPr>
          </w:p>
          <w:p w14:paraId="2114DDBC" w14:textId="77777777" w:rsidR="00ED0E0F" w:rsidRPr="00ED0E0F" w:rsidRDefault="00ED0E0F" w:rsidP="00F16F2C">
            <w:pPr>
              <w:jc w:val="right"/>
              <w:rPr>
                <w:rFonts w:eastAsia="Times New Roman"/>
                <w:color w:val="000000"/>
                <w:u w:val="single"/>
              </w:rPr>
            </w:pPr>
          </w:p>
          <w:p w14:paraId="388B2E05" w14:textId="77777777" w:rsidR="00ED0E0F" w:rsidRPr="00ED0E0F" w:rsidRDefault="00ED0E0F" w:rsidP="00F16F2C">
            <w:pPr>
              <w:jc w:val="right"/>
              <w:rPr>
                <w:rFonts w:eastAsia="Times New Roman"/>
                <w:color w:val="000000"/>
                <w:u w:val="single"/>
              </w:rPr>
            </w:pPr>
          </w:p>
          <w:p w14:paraId="4E713C8C" w14:textId="77777777" w:rsidR="00ED0E0F" w:rsidRPr="00ED0E0F" w:rsidRDefault="00ED0E0F" w:rsidP="00F16F2C">
            <w:pPr>
              <w:jc w:val="right"/>
              <w:rPr>
                <w:rFonts w:eastAsia="Times New Roman"/>
                <w:color w:val="000000"/>
                <w:u w:val="single"/>
              </w:rPr>
            </w:pPr>
          </w:p>
          <w:p w14:paraId="692CB2AE" w14:textId="77777777" w:rsidR="00ED0E0F" w:rsidRPr="00ED0E0F" w:rsidRDefault="00ED0E0F" w:rsidP="00F16F2C">
            <w:pPr>
              <w:jc w:val="right"/>
              <w:rPr>
                <w:rFonts w:eastAsia="Times New Roman"/>
                <w:color w:val="000000"/>
                <w:u w:val="single"/>
              </w:rPr>
            </w:pPr>
          </w:p>
          <w:p w14:paraId="72CFA5A8" w14:textId="77777777" w:rsidR="00ED0E0F" w:rsidRPr="00ED0E0F" w:rsidRDefault="00ED0E0F" w:rsidP="00F16F2C">
            <w:pPr>
              <w:jc w:val="right"/>
              <w:rPr>
                <w:rFonts w:eastAsia="Times New Roman"/>
                <w:color w:val="000000"/>
                <w:u w:val="single"/>
              </w:rPr>
            </w:pPr>
          </w:p>
          <w:p w14:paraId="2313262E" w14:textId="77777777" w:rsidR="00ED0E0F" w:rsidRPr="00ED0E0F" w:rsidRDefault="00ED0E0F" w:rsidP="00F16F2C">
            <w:pPr>
              <w:jc w:val="right"/>
              <w:rPr>
                <w:rFonts w:eastAsia="Times New Roman"/>
                <w:color w:val="000000"/>
                <w:u w:val="single"/>
              </w:rPr>
            </w:pPr>
          </w:p>
          <w:p w14:paraId="30AC67D6" w14:textId="77777777" w:rsidR="00ED0E0F" w:rsidRPr="00ED0E0F" w:rsidRDefault="00ED0E0F" w:rsidP="00F16F2C">
            <w:pPr>
              <w:jc w:val="right"/>
              <w:rPr>
                <w:rFonts w:eastAsia="Times New Roman"/>
                <w:color w:val="000000"/>
                <w:u w:val="single"/>
              </w:rPr>
            </w:pPr>
          </w:p>
          <w:p w14:paraId="61184E43" w14:textId="77777777" w:rsidR="00ED0E0F" w:rsidRPr="00ED0E0F" w:rsidRDefault="00ED0E0F" w:rsidP="00F16F2C">
            <w:pPr>
              <w:jc w:val="right"/>
              <w:rPr>
                <w:rFonts w:eastAsia="Times New Roman"/>
                <w:color w:val="000000"/>
                <w:u w:val="single"/>
              </w:rPr>
            </w:pPr>
          </w:p>
          <w:p w14:paraId="69FF86DD" w14:textId="77777777" w:rsidR="00ED0E0F" w:rsidRDefault="00ED0E0F" w:rsidP="00F16F2C">
            <w:pPr>
              <w:jc w:val="right"/>
              <w:rPr>
                <w:rFonts w:eastAsia="Times New Roman"/>
                <w:color w:val="000000"/>
                <w:u w:val="single"/>
              </w:rPr>
            </w:pPr>
          </w:p>
          <w:p w14:paraId="0AE5B33D" w14:textId="77777777" w:rsidR="00ED0E0F" w:rsidRDefault="00ED0E0F" w:rsidP="00F16F2C">
            <w:pPr>
              <w:jc w:val="right"/>
              <w:rPr>
                <w:rFonts w:eastAsia="Times New Roman"/>
                <w:color w:val="000000"/>
                <w:u w:val="single"/>
              </w:rPr>
            </w:pPr>
          </w:p>
          <w:p w14:paraId="7C7F5227" w14:textId="77777777" w:rsidR="00ED0E0F" w:rsidRPr="00ED0E0F" w:rsidRDefault="00ED0E0F" w:rsidP="00F16F2C">
            <w:pPr>
              <w:jc w:val="right"/>
              <w:rPr>
                <w:rFonts w:eastAsia="Times New Roman"/>
                <w:color w:val="000000"/>
                <w:u w:val="single"/>
              </w:rPr>
            </w:pPr>
            <w:r w:rsidRPr="00ED0E0F">
              <w:rPr>
                <w:rFonts w:eastAsia="Times New Roman"/>
                <w:color w:val="000000"/>
                <w:u w:val="single"/>
              </w:rPr>
              <w:t>Number</w:t>
            </w:r>
          </w:p>
        </w:tc>
        <w:tc>
          <w:tcPr>
            <w:tcW w:w="1012" w:type="dxa"/>
            <w:tcBorders>
              <w:top w:val="nil"/>
              <w:left w:val="nil"/>
              <w:bottom w:val="nil"/>
              <w:right w:val="nil"/>
            </w:tcBorders>
            <w:shd w:val="clear" w:color="auto" w:fill="auto"/>
            <w:noWrap/>
            <w:vAlign w:val="bottom"/>
            <w:hideMark/>
          </w:tcPr>
          <w:p w14:paraId="3B7F9F00" w14:textId="77777777" w:rsidR="00ED0E0F" w:rsidRPr="00ED0E0F" w:rsidRDefault="00ED0E0F" w:rsidP="00F16F2C">
            <w:pPr>
              <w:rPr>
                <w:rFonts w:eastAsia="Times New Roman"/>
                <w:color w:val="000000"/>
                <w:u w:val="single"/>
              </w:rPr>
            </w:pPr>
          </w:p>
          <w:p w14:paraId="2A038E28" w14:textId="77777777" w:rsidR="00ED0E0F" w:rsidRPr="00ED0E0F" w:rsidRDefault="00ED0E0F" w:rsidP="00F16F2C">
            <w:pPr>
              <w:rPr>
                <w:rFonts w:eastAsia="Times New Roman"/>
                <w:color w:val="000000"/>
                <w:u w:val="single"/>
              </w:rPr>
            </w:pPr>
          </w:p>
          <w:p w14:paraId="65714F20" w14:textId="77777777" w:rsidR="00ED0E0F" w:rsidRPr="00ED0E0F" w:rsidRDefault="00ED0E0F" w:rsidP="00F16F2C">
            <w:pPr>
              <w:rPr>
                <w:rFonts w:eastAsia="Times New Roman"/>
                <w:color w:val="000000"/>
                <w:u w:val="single"/>
              </w:rPr>
            </w:pPr>
          </w:p>
          <w:p w14:paraId="46F55A1D" w14:textId="77777777" w:rsidR="00ED0E0F" w:rsidRPr="00ED0E0F" w:rsidRDefault="00ED0E0F" w:rsidP="00F16F2C">
            <w:pPr>
              <w:rPr>
                <w:rFonts w:eastAsia="Times New Roman"/>
                <w:color w:val="000000"/>
                <w:u w:val="single"/>
              </w:rPr>
            </w:pPr>
          </w:p>
          <w:p w14:paraId="4D8EDC0E" w14:textId="77777777" w:rsidR="00ED0E0F" w:rsidRPr="00ED0E0F" w:rsidRDefault="00ED0E0F" w:rsidP="00F16F2C">
            <w:pPr>
              <w:rPr>
                <w:rFonts w:eastAsia="Times New Roman"/>
                <w:color w:val="000000"/>
                <w:u w:val="single"/>
              </w:rPr>
            </w:pPr>
          </w:p>
          <w:p w14:paraId="7C9CF6E6" w14:textId="77777777" w:rsidR="00ED0E0F" w:rsidRPr="00ED0E0F" w:rsidRDefault="00ED0E0F" w:rsidP="00F16F2C">
            <w:pPr>
              <w:rPr>
                <w:rFonts w:eastAsia="Times New Roman"/>
                <w:color w:val="000000"/>
                <w:u w:val="single"/>
              </w:rPr>
            </w:pPr>
          </w:p>
          <w:p w14:paraId="2CB8D263" w14:textId="77777777" w:rsidR="00ED0E0F" w:rsidRPr="00ED0E0F" w:rsidRDefault="00ED0E0F" w:rsidP="00F16F2C">
            <w:pPr>
              <w:rPr>
                <w:rFonts w:eastAsia="Times New Roman"/>
                <w:color w:val="000000"/>
                <w:u w:val="single"/>
              </w:rPr>
            </w:pPr>
          </w:p>
          <w:p w14:paraId="496BEB1E" w14:textId="77777777" w:rsidR="00ED0E0F" w:rsidRPr="00ED0E0F" w:rsidRDefault="00ED0E0F" w:rsidP="00F16F2C">
            <w:pPr>
              <w:rPr>
                <w:rFonts w:eastAsia="Times New Roman"/>
                <w:color w:val="000000"/>
                <w:u w:val="single"/>
              </w:rPr>
            </w:pPr>
          </w:p>
          <w:p w14:paraId="4C27BEDB" w14:textId="77777777" w:rsidR="00ED0E0F" w:rsidRPr="00ED0E0F" w:rsidRDefault="00ED0E0F" w:rsidP="00F16F2C">
            <w:pPr>
              <w:rPr>
                <w:rFonts w:eastAsia="Times New Roman"/>
                <w:color w:val="000000"/>
                <w:u w:val="single"/>
              </w:rPr>
            </w:pPr>
          </w:p>
          <w:p w14:paraId="2BD1B30C" w14:textId="77777777" w:rsidR="00ED0E0F" w:rsidRPr="00ED0E0F" w:rsidRDefault="00ED0E0F" w:rsidP="00F16F2C">
            <w:pPr>
              <w:rPr>
                <w:rFonts w:eastAsia="Times New Roman"/>
                <w:color w:val="000000"/>
                <w:u w:val="single"/>
              </w:rPr>
            </w:pPr>
          </w:p>
          <w:p w14:paraId="26CEA4E2" w14:textId="77777777" w:rsidR="00ED0E0F" w:rsidRPr="00ED0E0F" w:rsidRDefault="00ED0E0F" w:rsidP="00F16F2C">
            <w:pPr>
              <w:rPr>
                <w:rFonts w:eastAsia="Times New Roman"/>
                <w:color w:val="000000"/>
                <w:u w:val="single"/>
              </w:rPr>
            </w:pPr>
          </w:p>
          <w:p w14:paraId="60983D8D" w14:textId="77777777" w:rsidR="00ED0E0F" w:rsidRPr="00ED0E0F" w:rsidRDefault="00ED0E0F" w:rsidP="00F16F2C">
            <w:pPr>
              <w:rPr>
                <w:rFonts w:eastAsia="Times New Roman"/>
                <w:color w:val="000000"/>
                <w:u w:val="single"/>
              </w:rPr>
            </w:pPr>
          </w:p>
          <w:p w14:paraId="4B7E470E" w14:textId="77777777" w:rsidR="00ED0E0F" w:rsidRPr="00ED0E0F" w:rsidRDefault="00ED0E0F" w:rsidP="00F16F2C">
            <w:pPr>
              <w:rPr>
                <w:rFonts w:eastAsia="Times New Roman"/>
                <w:color w:val="000000"/>
                <w:u w:val="single"/>
              </w:rPr>
            </w:pPr>
          </w:p>
          <w:p w14:paraId="4678AF17" w14:textId="77777777" w:rsidR="00ED0E0F" w:rsidRPr="00ED0E0F" w:rsidRDefault="00ED0E0F" w:rsidP="00F16F2C">
            <w:pPr>
              <w:rPr>
                <w:rFonts w:eastAsia="Times New Roman"/>
                <w:color w:val="000000"/>
                <w:u w:val="single"/>
              </w:rPr>
            </w:pPr>
          </w:p>
          <w:p w14:paraId="1EE1D861" w14:textId="77777777" w:rsidR="00ED0E0F" w:rsidRPr="00ED0E0F" w:rsidRDefault="00ED0E0F" w:rsidP="00F16F2C">
            <w:pPr>
              <w:rPr>
                <w:rFonts w:eastAsia="Times New Roman"/>
                <w:color w:val="000000"/>
                <w:u w:val="single"/>
              </w:rPr>
            </w:pPr>
          </w:p>
          <w:p w14:paraId="5936BE9A" w14:textId="77777777" w:rsidR="00ED0E0F" w:rsidRPr="00ED0E0F" w:rsidRDefault="00ED0E0F" w:rsidP="00F16F2C">
            <w:pPr>
              <w:rPr>
                <w:rFonts w:eastAsia="Times New Roman"/>
                <w:color w:val="000000"/>
                <w:u w:val="single"/>
              </w:rPr>
            </w:pPr>
          </w:p>
          <w:p w14:paraId="243B1115" w14:textId="77777777" w:rsidR="00ED0E0F" w:rsidRPr="00ED0E0F" w:rsidRDefault="00ED0E0F" w:rsidP="00F16F2C">
            <w:pPr>
              <w:rPr>
                <w:rFonts w:eastAsia="Times New Roman"/>
                <w:color w:val="000000"/>
                <w:u w:val="single"/>
              </w:rPr>
            </w:pPr>
          </w:p>
          <w:p w14:paraId="090B2521" w14:textId="77777777" w:rsidR="00ED0E0F" w:rsidRPr="00ED0E0F" w:rsidRDefault="00ED0E0F" w:rsidP="00F16F2C">
            <w:pPr>
              <w:rPr>
                <w:rFonts w:eastAsia="Times New Roman"/>
                <w:color w:val="000000"/>
                <w:u w:val="single"/>
              </w:rPr>
            </w:pPr>
          </w:p>
          <w:p w14:paraId="2919F4AB" w14:textId="77777777" w:rsidR="00ED0E0F" w:rsidRDefault="00ED0E0F" w:rsidP="00F16F2C">
            <w:pPr>
              <w:rPr>
                <w:rFonts w:eastAsia="Times New Roman"/>
                <w:color w:val="000000"/>
                <w:u w:val="single"/>
              </w:rPr>
            </w:pPr>
          </w:p>
          <w:p w14:paraId="63CBFEDD" w14:textId="77777777" w:rsidR="00ED0E0F" w:rsidRDefault="00ED0E0F" w:rsidP="00F16F2C">
            <w:pPr>
              <w:rPr>
                <w:rFonts w:eastAsia="Times New Roman"/>
                <w:color w:val="000000"/>
                <w:u w:val="single"/>
              </w:rPr>
            </w:pPr>
          </w:p>
          <w:p w14:paraId="0B9C15F1" w14:textId="77777777" w:rsidR="00ED0E0F" w:rsidRPr="00ED0E0F" w:rsidRDefault="00ED0E0F" w:rsidP="00F16F2C">
            <w:pPr>
              <w:rPr>
                <w:rFonts w:eastAsia="Times New Roman"/>
                <w:color w:val="000000"/>
                <w:u w:val="single"/>
              </w:rPr>
            </w:pPr>
            <w:r w:rsidRPr="00ED0E0F">
              <w:rPr>
                <w:rFonts w:eastAsia="Times New Roman"/>
                <w:color w:val="000000"/>
                <w:u w:val="single"/>
              </w:rPr>
              <w:t>Percent</w:t>
            </w:r>
          </w:p>
        </w:tc>
      </w:tr>
      <w:tr w:rsidR="00ED0E0F" w:rsidRPr="00ED0E0F" w14:paraId="1AFF249D" w14:textId="77777777" w:rsidTr="00F16F2C">
        <w:trPr>
          <w:trHeight w:val="311"/>
        </w:trPr>
        <w:tc>
          <w:tcPr>
            <w:tcW w:w="6894" w:type="dxa"/>
            <w:tcBorders>
              <w:top w:val="nil"/>
              <w:left w:val="nil"/>
              <w:bottom w:val="nil"/>
              <w:right w:val="nil"/>
            </w:tcBorders>
            <w:shd w:val="clear" w:color="auto" w:fill="auto"/>
            <w:noWrap/>
            <w:vAlign w:val="bottom"/>
            <w:hideMark/>
          </w:tcPr>
          <w:p w14:paraId="41D42613"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Agriculture, forestry, fishing and hunting, and mining</w:t>
            </w:r>
          </w:p>
        </w:tc>
        <w:tc>
          <w:tcPr>
            <w:tcW w:w="1061" w:type="dxa"/>
            <w:tcBorders>
              <w:top w:val="nil"/>
              <w:left w:val="nil"/>
              <w:bottom w:val="nil"/>
              <w:right w:val="nil"/>
            </w:tcBorders>
            <w:shd w:val="clear" w:color="auto" w:fill="auto"/>
            <w:noWrap/>
            <w:vAlign w:val="bottom"/>
            <w:hideMark/>
          </w:tcPr>
          <w:p w14:paraId="02C572A9"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516</w:t>
            </w:r>
          </w:p>
        </w:tc>
        <w:tc>
          <w:tcPr>
            <w:tcW w:w="1012" w:type="dxa"/>
            <w:tcBorders>
              <w:top w:val="nil"/>
              <w:left w:val="nil"/>
              <w:bottom w:val="nil"/>
              <w:right w:val="nil"/>
            </w:tcBorders>
            <w:shd w:val="clear" w:color="auto" w:fill="auto"/>
            <w:noWrap/>
            <w:vAlign w:val="bottom"/>
            <w:hideMark/>
          </w:tcPr>
          <w:p w14:paraId="6BCC6302"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10.0%</w:t>
            </w:r>
          </w:p>
        </w:tc>
      </w:tr>
      <w:tr w:rsidR="00ED0E0F" w:rsidRPr="00ED0E0F" w14:paraId="45B40C03" w14:textId="77777777" w:rsidTr="00F16F2C">
        <w:trPr>
          <w:trHeight w:val="311"/>
        </w:trPr>
        <w:tc>
          <w:tcPr>
            <w:tcW w:w="6894" w:type="dxa"/>
            <w:tcBorders>
              <w:top w:val="nil"/>
              <w:left w:val="nil"/>
              <w:bottom w:val="nil"/>
              <w:right w:val="nil"/>
            </w:tcBorders>
            <w:shd w:val="clear" w:color="auto" w:fill="auto"/>
            <w:noWrap/>
            <w:vAlign w:val="bottom"/>
            <w:hideMark/>
          </w:tcPr>
          <w:p w14:paraId="492C6032"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Construction</w:t>
            </w:r>
          </w:p>
        </w:tc>
        <w:tc>
          <w:tcPr>
            <w:tcW w:w="1061" w:type="dxa"/>
            <w:tcBorders>
              <w:top w:val="nil"/>
              <w:left w:val="nil"/>
              <w:bottom w:val="nil"/>
              <w:right w:val="nil"/>
            </w:tcBorders>
            <w:shd w:val="clear" w:color="auto" w:fill="auto"/>
            <w:noWrap/>
            <w:vAlign w:val="bottom"/>
            <w:hideMark/>
          </w:tcPr>
          <w:p w14:paraId="46732ABE"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180</w:t>
            </w:r>
          </w:p>
        </w:tc>
        <w:tc>
          <w:tcPr>
            <w:tcW w:w="1012" w:type="dxa"/>
            <w:tcBorders>
              <w:top w:val="nil"/>
              <w:left w:val="nil"/>
              <w:bottom w:val="nil"/>
              <w:right w:val="nil"/>
            </w:tcBorders>
            <w:shd w:val="clear" w:color="auto" w:fill="auto"/>
            <w:noWrap/>
            <w:vAlign w:val="bottom"/>
            <w:hideMark/>
          </w:tcPr>
          <w:p w14:paraId="4B3B86ED"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3.5%</w:t>
            </w:r>
          </w:p>
        </w:tc>
      </w:tr>
      <w:tr w:rsidR="00ED0E0F" w:rsidRPr="00ED0E0F" w14:paraId="75C07500" w14:textId="77777777" w:rsidTr="00F16F2C">
        <w:trPr>
          <w:trHeight w:val="311"/>
        </w:trPr>
        <w:tc>
          <w:tcPr>
            <w:tcW w:w="6894" w:type="dxa"/>
            <w:tcBorders>
              <w:top w:val="nil"/>
              <w:left w:val="nil"/>
              <w:bottom w:val="nil"/>
              <w:right w:val="nil"/>
            </w:tcBorders>
            <w:shd w:val="clear" w:color="auto" w:fill="auto"/>
            <w:noWrap/>
            <w:vAlign w:val="bottom"/>
            <w:hideMark/>
          </w:tcPr>
          <w:p w14:paraId="273DA7BB"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Manufacturing</w:t>
            </w:r>
          </w:p>
        </w:tc>
        <w:tc>
          <w:tcPr>
            <w:tcW w:w="1061" w:type="dxa"/>
            <w:tcBorders>
              <w:top w:val="nil"/>
              <w:left w:val="nil"/>
              <w:bottom w:val="nil"/>
              <w:right w:val="nil"/>
            </w:tcBorders>
            <w:shd w:val="clear" w:color="auto" w:fill="auto"/>
            <w:noWrap/>
            <w:vAlign w:val="bottom"/>
            <w:hideMark/>
          </w:tcPr>
          <w:p w14:paraId="03588635"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455</w:t>
            </w:r>
          </w:p>
        </w:tc>
        <w:tc>
          <w:tcPr>
            <w:tcW w:w="1012" w:type="dxa"/>
            <w:tcBorders>
              <w:top w:val="nil"/>
              <w:left w:val="nil"/>
              <w:bottom w:val="nil"/>
              <w:right w:val="nil"/>
            </w:tcBorders>
            <w:shd w:val="clear" w:color="auto" w:fill="auto"/>
            <w:noWrap/>
            <w:vAlign w:val="bottom"/>
            <w:hideMark/>
          </w:tcPr>
          <w:p w14:paraId="7621477D"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8.8%</w:t>
            </w:r>
          </w:p>
        </w:tc>
      </w:tr>
      <w:tr w:rsidR="00ED0E0F" w:rsidRPr="00ED0E0F" w14:paraId="6B6EF5EB" w14:textId="77777777" w:rsidTr="00F16F2C">
        <w:trPr>
          <w:trHeight w:val="311"/>
        </w:trPr>
        <w:tc>
          <w:tcPr>
            <w:tcW w:w="6894" w:type="dxa"/>
            <w:tcBorders>
              <w:top w:val="nil"/>
              <w:left w:val="nil"/>
              <w:bottom w:val="nil"/>
              <w:right w:val="nil"/>
            </w:tcBorders>
            <w:shd w:val="clear" w:color="auto" w:fill="auto"/>
            <w:noWrap/>
            <w:vAlign w:val="bottom"/>
            <w:hideMark/>
          </w:tcPr>
          <w:p w14:paraId="73558519"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Wholesale trade</w:t>
            </w:r>
          </w:p>
        </w:tc>
        <w:tc>
          <w:tcPr>
            <w:tcW w:w="1061" w:type="dxa"/>
            <w:tcBorders>
              <w:top w:val="nil"/>
              <w:left w:val="nil"/>
              <w:bottom w:val="nil"/>
              <w:right w:val="nil"/>
            </w:tcBorders>
            <w:shd w:val="clear" w:color="auto" w:fill="auto"/>
            <w:noWrap/>
            <w:vAlign w:val="bottom"/>
            <w:hideMark/>
          </w:tcPr>
          <w:p w14:paraId="32DFF2EA"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113</w:t>
            </w:r>
          </w:p>
        </w:tc>
        <w:tc>
          <w:tcPr>
            <w:tcW w:w="1012" w:type="dxa"/>
            <w:tcBorders>
              <w:top w:val="nil"/>
              <w:left w:val="nil"/>
              <w:bottom w:val="nil"/>
              <w:right w:val="nil"/>
            </w:tcBorders>
            <w:shd w:val="clear" w:color="auto" w:fill="auto"/>
            <w:noWrap/>
            <w:vAlign w:val="bottom"/>
            <w:hideMark/>
          </w:tcPr>
          <w:p w14:paraId="5476C4F6"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2.2%</w:t>
            </w:r>
          </w:p>
        </w:tc>
      </w:tr>
      <w:tr w:rsidR="00ED0E0F" w:rsidRPr="00ED0E0F" w14:paraId="11C35FA1" w14:textId="77777777" w:rsidTr="00F16F2C">
        <w:trPr>
          <w:trHeight w:val="311"/>
        </w:trPr>
        <w:tc>
          <w:tcPr>
            <w:tcW w:w="6894" w:type="dxa"/>
            <w:tcBorders>
              <w:top w:val="nil"/>
              <w:left w:val="nil"/>
              <w:bottom w:val="nil"/>
              <w:right w:val="nil"/>
            </w:tcBorders>
            <w:shd w:val="clear" w:color="auto" w:fill="auto"/>
            <w:noWrap/>
            <w:vAlign w:val="bottom"/>
            <w:hideMark/>
          </w:tcPr>
          <w:p w14:paraId="1ADD2F6F"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Retail trade</w:t>
            </w:r>
          </w:p>
        </w:tc>
        <w:tc>
          <w:tcPr>
            <w:tcW w:w="1061" w:type="dxa"/>
            <w:tcBorders>
              <w:top w:val="nil"/>
              <w:left w:val="nil"/>
              <w:bottom w:val="nil"/>
              <w:right w:val="nil"/>
            </w:tcBorders>
            <w:shd w:val="clear" w:color="auto" w:fill="auto"/>
            <w:noWrap/>
            <w:vAlign w:val="bottom"/>
            <w:hideMark/>
          </w:tcPr>
          <w:p w14:paraId="327180EE" w14:textId="77777777" w:rsidR="00ED0E0F" w:rsidRPr="00ED0E0F" w:rsidRDefault="00ED0E0F" w:rsidP="00F16F2C">
            <w:pPr>
              <w:jc w:val="right"/>
              <w:rPr>
                <w:rFonts w:eastAsia="Times New Roman"/>
                <w:color w:val="000000"/>
                <w:sz w:val="22"/>
                <w:szCs w:val="22"/>
              </w:rPr>
            </w:pPr>
            <w:r w:rsidRPr="00ED0E0F">
              <w:rPr>
                <w:rFonts w:eastAsia="Times New Roman"/>
                <w:color w:val="000000"/>
                <w:sz w:val="22"/>
                <w:szCs w:val="22"/>
              </w:rPr>
              <w:t>516</w:t>
            </w:r>
          </w:p>
        </w:tc>
        <w:tc>
          <w:tcPr>
            <w:tcW w:w="1012" w:type="dxa"/>
            <w:tcBorders>
              <w:top w:val="nil"/>
              <w:left w:val="nil"/>
              <w:bottom w:val="nil"/>
              <w:right w:val="nil"/>
            </w:tcBorders>
            <w:shd w:val="clear" w:color="auto" w:fill="auto"/>
            <w:noWrap/>
            <w:vAlign w:val="bottom"/>
            <w:hideMark/>
          </w:tcPr>
          <w:p w14:paraId="476BE880" w14:textId="77777777" w:rsidR="00ED0E0F" w:rsidRPr="00ED0E0F" w:rsidRDefault="00ED0E0F" w:rsidP="00F16F2C">
            <w:pPr>
              <w:jc w:val="right"/>
              <w:rPr>
                <w:rFonts w:eastAsia="Times New Roman"/>
                <w:color w:val="000000"/>
                <w:sz w:val="22"/>
                <w:szCs w:val="22"/>
              </w:rPr>
            </w:pPr>
            <w:r w:rsidRPr="00ED0E0F">
              <w:rPr>
                <w:rFonts w:eastAsia="Times New Roman"/>
                <w:color w:val="000000"/>
                <w:sz w:val="22"/>
                <w:szCs w:val="22"/>
              </w:rPr>
              <w:t>10.0%</w:t>
            </w:r>
          </w:p>
        </w:tc>
      </w:tr>
      <w:tr w:rsidR="00ED0E0F" w:rsidRPr="00ED0E0F" w14:paraId="5CA78600" w14:textId="77777777" w:rsidTr="00F16F2C">
        <w:trPr>
          <w:trHeight w:val="311"/>
        </w:trPr>
        <w:tc>
          <w:tcPr>
            <w:tcW w:w="6894" w:type="dxa"/>
            <w:tcBorders>
              <w:top w:val="nil"/>
              <w:left w:val="nil"/>
              <w:bottom w:val="nil"/>
              <w:right w:val="nil"/>
            </w:tcBorders>
            <w:shd w:val="clear" w:color="auto" w:fill="auto"/>
            <w:noWrap/>
            <w:vAlign w:val="bottom"/>
            <w:hideMark/>
          </w:tcPr>
          <w:p w14:paraId="0F3850E6"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Transportation and warehousing, and utilities</w:t>
            </w:r>
          </w:p>
        </w:tc>
        <w:tc>
          <w:tcPr>
            <w:tcW w:w="1061" w:type="dxa"/>
            <w:tcBorders>
              <w:top w:val="nil"/>
              <w:left w:val="nil"/>
              <w:bottom w:val="nil"/>
              <w:right w:val="nil"/>
            </w:tcBorders>
            <w:shd w:val="clear" w:color="auto" w:fill="auto"/>
            <w:noWrap/>
            <w:vAlign w:val="bottom"/>
            <w:hideMark/>
          </w:tcPr>
          <w:p w14:paraId="7E843DE0"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162</w:t>
            </w:r>
          </w:p>
        </w:tc>
        <w:tc>
          <w:tcPr>
            <w:tcW w:w="1012" w:type="dxa"/>
            <w:tcBorders>
              <w:top w:val="nil"/>
              <w:left w:val="nil"/>
              <w:bottom w:val="nil"/>
              <w:right w:val="nil"/>
            </w:tcBorders>
            <w:shd w:val="clear" w:color="auto" w:fill="auto"/>
            <w:noWrap/>
            <w:vAlign w:val="bottom"/>
            <w:hideMark/>
          </w:tcPr>
          <w:p w14:paraId="3246AEAA"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3.1%</w:t>
            </w:r>
          </w:p>
        </w:tc>
      </w:tr>
      <w:tr w:rsidR="00ED0E0F" w:rsidRPr="00ED0E0F" w14:paraId="46EFD1E5" w14:textId="77777777" w:rsidTr="00F16F2C">
        <w:trPr>
          <w:trHeight w:val="311"/>
        </w:trPr>
        <w:tc>
          <w:tcPr>
            <w:tcW w:w="6894" w:type="dxa"/>
            <w:tcBorders>
              <w:top w:val="nil"/>
              <w:left w:val="nil"/>
              <w:bottom w:val="nil"/>
              <w:right w:val="nil"/>
            </w:tcBorders>
            <w:shd w:val="clear" w:color="auto" w:fill="auto"/>
            <w:noWrap/>
            <w:vAlign w:val="bottom"/>
            <w:hideMark/>
          </w:tcPr>
          <w:p w14:paraId="21CC8A77"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Information</w:t>
            </w:r>
          </w:p>
        </w:tc>
        <w:tc>
          <w:tcPr>
            <w:tcW w:w="1061" w:type="dxa"/>
            <w:tcBorders>
              <w:top w:val="nil"/>
              <w:left w:val="nil"/>
              <w:bottom w:val="nil"/>
              <w:right w:val="nil"/>
            </w:tcBorders>
            <w:shd w:val="clear" w:color="auto" w:fill="auto"/>
            <w:noWrap/>
            <w:vAlign w:val="bottom"/>
            <w:hideMark/>
          </w:tcPr>
          <w:p w14:paraId="3EE8B040"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109</w:t>
            </w:r>
          </w:p>
        </w:tc>
        <w:tc>
          <w:tcPr>
            <w:tcW w:w="1012" w:type="dxa"/>
            <w:tcBorders>
              <w:top w:val="nil"/>
              <w:left w:val="nil"/>
              <w:bottom w:val="nil"/>
              <w:right w:val="nil"/>
            </w:tcBorders>
            <w:shd w:val="clear" w:color="auto" w:fill="auto"/>
            <w:noWrap/>
            <w:vAlign w:val="bottom"/>
            <w:hideMark/>
          </w:tcPr>
          <w:p w14:paraId="7FBE69DA"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2.1%</w:t>
            </w:r>
          </w:p>
        </w:tc>
      </w:tr>
      <w:tr w:rsidR="00ED0E0F" w:rsidRPr="00ED0E0F" w14:paraId="5E995F4B" w14:textId="77777777" w:rsidTr="00F16F2C">
        <w:trPr>
          <w:trHeight w:val="311"/>
        </w:trPr>
        <w:tc>
          <w:tcPr>
            <w:tcW w:w="6894" w:type="dxa"/>
            <w:tcBorders>
              <w:top w:val="nil"/>
              <w:left w:val="nil"/>
              <w:bottom w:val="nil"/>
              <w:right w:val="nil"/>
            </w:tcBorders>
            <w:shd w:val="clear" w:color="auto" w:fill="auto"/>
            <w:noWrap/>
            <w:vAlign w:val="bottom"/>
            <w:hideMark/>
          </w:tcPr>
          <w:p w14:paraId="79542836"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Finance and insurance, and real estate and rental and leasing</w:t>
            </w:r>
          </w:p>
        </w:tc>
        <w:tc>
          <w:tcPr>
            <w:tcW w:w="1061" w:type="dxa"/>
            <w:tcBorders>
              <w:top w:val="nil"/>
              <w:left w:val="nil"/>
              <w:bottom w:val="nil"/>
              <w:right w:val="nil"/>
            </w:tcBorders>
            <w:shd w:val="clear" w:color="auto" w:fill="auto"/>
            <w:noWrap/>
            <w:vAlign w:val="bottom"/>
            <w:hideMark/>
          </w:tcPr>
          <w:p w14:paraId="2C97A0A5"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228</w:t>
            </w:r>
          </w:p>
        </w:tc>
        <w:tc>
          <w:tcPr>
            <w:tcW w:w="1012" w:type="dxa"/>
            <w:tcBorders>
              <w:top w:val="nil"/>
              <w:left w:val="nil"/>
              <w:bottom w:val="nil"/>
              <w:right w:val="nil"/>
            </w:tcBorders>
            <w:shd w:val="clear" w:color="auto" w:fill="auto"/>
            <w:noWrap/>
            <w:vAlign w:val="bottom"/>
            <w:hideMark/>
          </w:tcPr>
          <w:p w14:paraId="4FFAABB0"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4.4%</w:t>
            </w:r>
          </w:p>
        </w:tc>
      </w:tr>
      <w:tr w:rsidR="00ED0E0F" w:rsidRPr="00ED0E0F" w14:paraId="73470B56" w14:textId="77777777" w:rsidTr="00F16F2C">
        <w:trPr>
          <w:trHeight w:val="311"/>
        </w:trPr>
        <w:tc>
          <w:tcPr>
            <w:tcW w:w="6894" w:type="dxa"/>
            <w:tcBorders>
              <w:top w:val="nil"/>
              <w:left w:val="nil"/>
              <w:bottom w:val="nil"/>
              <w:right w:val="nil"/>
            </w:tcBorders>
            <w:shd w:val="clear" w:color="auto" w:fill="auto"/>
            <w:noWrap/>
            <w:vAlign w:val="bottom"/>
            <w:hideMark/>
          </w:tcPr>
          <w:p w14:paraId="3CE9B0B7"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Professional, scientific, and management, and administrative and waste management services</w:t>
            </w:r>
          </w:p>
        </w:tc>
        <w:tc>
          <w:tcPr>
            <w:tcW w:w="1061" w:type="dxa"/>
            <w:tcBorders>
              <w:top w:val="nil"/>
              <w:left w:val="nil"/>
              <w:bottom w:val="nil"/>
              <w:right w:val="nil"/>
            </w:tcBorders>
            <w:shd w:val="clear" w:color="auto" w:fill="auto"/>
            <w:noWrap/>
            <w:vAlign w:val="bottom"/>
            <w:hideMark/>
          </w:tcPr>
          <w:p w14:paraId="6C2D289B"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196</w:t>
            </w:r>
          </w:p>
        </w:tc>
        <w:tc>
          <w:tcPr>
            <w:tcW w:w="1012" w:type="dxa"/>
            <w:tcBorders>
              <w:top w:val="nil"/>
              <w:left w:val="nil"/>
              <w:bottom w:val="nil"/>
              <w:right w:val="nil"/>
            </w:tcBorders>
            <w:shd w:val="clear" w:color="auto" w:fill="auto"/>
            <w:noWrap/>
            <w:vAlign w:val="bottom"/>
            <w:hideMark/>
          </w:tcPr>
          <w:p w14:paraId="1B7BB121"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3.8%</w:t>
            </w:r>
          </w:p>
        </w:tc>
      </w:tr>
      <w:tr w:rsidR="00ED0E0F" w:rsidRPr="00ED0E0F" w14:paraId="70524549" w14:textId="77777777" w:rsidTr="00F16F2C">
        <w:trPr>
          <w:trHeight w:val="311"/>
        </w:trPr>
        <w:tc>
          <w:tcPr>
            <w:tcW w:w="6894" w:type="dxa"/>
            <w:tcBorders>
              <w:top w:val="nil"/>
              <w:left w:val="nil"/>
              <w:bottom w:val="nil"/>
              <w:right w:val="nil"/>
            </w:tcBorders>
            <w:shd w:val="clear" w:color="auto" w:fill="auto"/>
            <w:noWrap/>
            <w:vAlign w:val="bottom"/>
            <w:hideMark/>
          </w:tcPr>
          <w:p w14:paraId="078AE5F8"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Educational services, and health care and social assistance</w:t>
            </w:r>
          </w:p>
        </w:tc>
        <w:tc>
          <w:tcPr>
            <w:tcW w:w="1061" w:type="dxa"/>
            <w:tcBorders>
              <w:top w:val="nil"/>
              <w:left w:val="nil"/>
              <w:bottom w:val="nil"/>
              <w:right w:val="nil"/>
            </w:tcBorders>
            <w:shd w:val="clear" w:color="auto" w:fill="auto"/>
            <w:noWrap/>
            <w:vAlign w:val="bottom"/>
            <w:hideMark/>
          </w:tcPr>
          <w:p w14:paraId="76A51B28"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2,095</w:t>
            </w:r>
          </w:p>
        </w:tc>
        <w:tc>
          <w:tcPr>
            <w:tcW w:w="1012" w:type="dxa"/>
            <w:tcBorders>
              <w:top w:val="nil"/>
              <w:left w:val="nil"/>
              <w:bottom w:val="nil"/>
              <w:right w:val="nil"/>
            </w:tcBorders>
            <w:shd w:val="clear" w:color="auto" w:fill="auto"/>
            <w:noWrap/>
            <w:vAlign w:val="bottom"/>
            <w:hideMark/>
          </w:tcPr>
          <w:p w14:paraId="370FB2FC"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40.6%</w:t>
            </w:r>
          </w:p>
        </w:tc>
      </w:tr>
      <w:tr w:rsidR="00ED0E0F" w:rsidRPr="00ED0E0F" w14:paraId="770EB0F8" w14:textId="77777777" w:rsidTr="00F16F2C">
        <w:trPr>
          <w:trHeight w:val="311"/>
        </w:trPr>
        <w:tc>
          <w:tcPr>
            <w:tcW w:w="6894" w:type="dxa"/>
            <w:tcBorders>
              <w:top w:val="nil"/>
              <w:left w:val="nil"/>
              <w:bottom w:val="nil"/>
              <w:right w:val="nil"/>
            </w:tcBorders>
            <w:shd w:val="clear" w:color="auto" w:fill="auto"/>
            <w:noWrap/>
            <w:vAlign w:val="bottom"/>
            <w:hideMark/>
          </w:tcPr>
          <w:p w14:paraId="1F38F643"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Arts, entertainment, and recreation, and accommodation and food services</w:t>
            </w:r>
          </w:p>
        </w:tc>
        <w:tc>
          <w:tcPr>
            <w:tcW w:w="1061" w:type="dxa"/>
            <w:tcBorders>
              <w:top w:val="nil"/>
              <w:left w:val="nil"/>
              <w:bottom w:val="nil"/>
              <w:right w:val="nil"/>
            </w:tcBorders>
            <w:shd w:val="clear" w:color="auto" w:fill="auto"/>
            <w:noWrap/>
            <w:vAlign w:val="bottom"/>
            <w:hideMark/>
          </w:tcPr>
          <w:p w14:paraId="674C1BD0"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234</w:t>
            </w:r>
          </w:p>
        </w:tc>
        <w:tc>
          <w:tcPr>
            <w:tcW w:w="1012" w:type="dxa"/>
            <w:tcBorders>
              <w:top w:val="nil"/>
              <w:left w:val="nil"/>
              <w:bottom w:val="nil"/>
              <w:right w:val="nil"/>
            </w:tcBorders>
            <w:shd w:val="clear" w:color="auto" w:fill="auto"/>
            <w:noWrap/>
            <w:vAlign w:val="bottom"/>
            <w:hideMark/>
          </w:tcPr>
          <w:p w14:paraId="6DD3F298"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4.5%</w:t>
            </w:r>
          </w:p>
        </w:tc>
      </w:tr>
      <w:tr w:rsidR="00ED0E0F" w:rsidRPr="00ED0E0F" w14:paraId="0A0349C1" w14:textId="77777777" w:rsidTr="00F16F2C">
        <w:trPr>
          <w:trHeight w:val="311"/>
        </w:trPr>
        <w:tc>
          <w:tcPr>
            <w:tcW w:w="6894" w:type="dxa"/>
            <w:tcBorders>
              <w:top w:val="nil"/>
              <w:left w:val="nil"/>
              <w:bottom w:val="nil"/>
              <w:right w:val="nil"/>
            </w:tcBorders>
            <w:shd w:val="clear" w:color="auto" w:fill="auto"/>
            <w:noWrap/>
            <w:vAlign w:val="bottom"/>
            <w:hideMark/>
          </w:tcPr>
          <w:p w14:paraId="09A80EC3"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Other services, except public administration</w:t>
            </w:r>
          </w:p>
        </w:tc>
        <w:tc>
          <w:tcPr>
            <w:tcW w:w="1061" w:type="dxa"/>
            <w:tcBorders>
              <w:top w:val="nil"/>
              <w:left w:val="nil"/>
              <w:bottom w:val="nil"/>
              <w:right w:val="nil"/>
            </w:tcBorders>
            <w:shd w:val="clear" w:color="auto" w:fill="auto"/>
            <w:noWrap/>
            <w:vAlign w:val="bottom"/>
            <w:hideMark/>
          </w:tcPr>
          <w:p w14:paraId="0F4AFB47"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207</w:t>
            </w:r>
          </w:p>
        </w:tc>
        <w:tc>
          <w:tcPr>
            <w:tcW w:w="1012" w:type="dxa"/>
            <w:tcBorders>
              <w:top w:val="nil"/>
              <w:left w:val="nil"/>
              <w:bottom w:val="nil"/>
              <w:right w:val="nil"/>
            </w:tcBorders>
            <w:shd w:val="clear" w:color="auto" w:fill="auto"/>
            <w:noWrap/>
            <w:vAlign w:val="bottom"/>
            <w:hideMark/>
          </w:tcPr>
          <w:p w14:paraId="4A967B41"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4.0%</w:t>
            </w:r>
          </w:p>
        </w:tc>
      </w:tr>
      <w:tr w:rsidR="00ED0E0F" w:rsidRPr="00ED0E0F" w14:paraId="2A7E83A3" w14:textId="77777777" w:rsidTr="00F16F2C">
        <w:trPr>
          <w:trHeight w:val="311"/>
        </w:trPr>
        <w:tc>
          <w:tcPr>
            <w:tcW w:w="6894" w:type="dxa"/>
            <w:tcBorders>
              <w:top w:val="nil"/>
              <w:left w:val="nil"/>
              <w:bottom w:val="nil"/>
              <w:right w:val="nil"/>
            </w:tcBorders>
            <w:shd w:val="clear" w:color="auto" w:fill="auto"/>
            <w:noWrap/>
            <w:vAlign w:val="bottom"/>
            <w:hideMark/>
          </w:tcPr>
          <w:p w14:paraId="3B311C1F"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Public administration</w:t>
            </w:r>
          </w:p>
        </w:tc>
        <w:tc>
          <w:tcPr>
            <w:tcW w:w="1061" w:type="dxa"/>
            <w:tcBorders>
              <w:top w:val="nil"/>
              <w:left w:val="nil"/>
              <w:bottom w:val="nil"/>
              <w:right w:val="nil"/>
            </w:tcBorders>
            <w:shd w:val="clear" w:color="auto" w:fill="auto"/>
            <w:noWrap/>
            <w:vAlign w:val="bottom"/>
            <w:hideMark/>
          </w:tcPr>
          <w:p w14:paraId="6610B524"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143</w:t>
            </w:r>
          </w:p>
        </w:tc>
        <w:tc>
          <w:tcPr>
            <w:tcW w:w="1012" w:type="dxa"/>
            <w:tcBorders>
              <w:top w:val="nil"/>
              <w:left w:val="nil"/>
              <w:bottom w:val="nil"/>
              <w:right w:val="nil"/>
            </w:tcBorders>
            <w:shd w:val="clear" w:color="auto" w:fill="auto"/>
            <w:noWrap/>
            <w:vAlign w:val="bottom"/>
            <w:hideMark/>
          </w:tcPr>
          <w:p w14:paraId="2A0204CA"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2.8%</w:t>
            </w:r>
          </w:p>
        </w:tc>
      </w:tr>
    </w:tbl>
    <w:p w14:paraId="528CDE47" w14:textId="77777777" w:rsidR="00ED0E0F" w:rsidRPr="00ED0E0F" w:rsidRDefault="00ED0E0F" w:rsidP="00ED0E0F">
      <w:r w:rsidRPr="00ED0E0F">
        <w:t xml:space="preserve"> </w:t>
      </w:r>
    </w:p>
    <w:p w14:paraId="01383060" w14:textId="1C2F2378" w:rsidR="00ED0E0F" w:rsidRPr="00ED0E0F" w:rsidRDefault="00ED0E0F" w:rsidP="00ED0E0F">
      <w:r>
        <w:t xml:space="preserve">Table </w:t>
      </w:r>
      <w:r w:rsidRPr="00ED0E0F">
        <w:t xml:space="preserve">27 shows the </w:t>
      </w:r>
      <w:proofErr w:type="gramStart"/>
      <w:r w:rsidRPr="00ED0E0F">
        <w:t>number  of</w:t>
      </w:r>
      <w:proofErr w:type="gramEnd"/>
      <w:r w:rsidRPr="00ED0E0F">
        <w:t xml:space="preserve"> the various Industries and the percentage of employees who  in Steven County for the year 2010. Educational services, health care and social assistance </w:t>
      </w:r>
    </w:p>
    <w:p w14:paraId="63A47989" w14:textId="77777777" w:rsidR="00ED0E0F" w:rsidRPr="00ED0E0F" w:rsidRDefault="00ED0E0F" w:rsidP="00ED0E0F"/>
    <w:p w14:paraId="37D7727C" w14:textId="77777777" w:rsidR="00ED0E0F" w:rsidRPr="00ED0E0F" w:rsidRDefault="00ED0E0F" w:rsidP="00ED0E0F">
      <w:pPr>
        <w:jc w:val="center"/>
        <w:rPr>
          <w:b/>
        </w:rPr>
      </w:pPr>
      <w:r w:rsidRPr="00ED0E0F">
        <w:rPr>
          <w:b/>
        </w:rPr>
        <w:t xml:space="preserve">Table 15 </w:t>
      </w:r>
    </w:p>
    <w:p w14:paraId="5F4FCBB2" w14:textId="77777777" w:rsidR="00ED0E0F" w:rsidRPr="00ED0E0F" w:rsidRDefault="00ED0E0F" w:rsidP="00ED0E0F">
      <w:pPr>
        <w:jc w:val="center"/>
        <w:rPr>
          <w:b/>
        </w:rPr>
      </w:pPr>
      <w:r w:rsidRPr="00ED0E0F">
        <w:rPr>
          <w:b/>
        </w:rPr>
        <w:t>City of Morris Housing Type (Total Unit)</w:t>
      </w:r>
    </w:p>
    <w:tbl>
      <w:tblPr>
        <w:tblW w:w="9269" w:type="dxa"/>
        <w:tblInd w:w="-963" w:type="dxa"/>
        <w:tblLook w:val="04A0" w:firstRow="1" w:lastRow="0" w:firstColumn="1" w:lastColumn="0" w:noHBand="0" w:noVBand="1"/>
      </w:tblPr>
      <w:tblGrid>
        <w:gridCol w:w="2739"/>
        <w:gridCol w:w="1698"/>
        <w:gridCol w:w="1676"/>
        <w:gridCol w:w="1578"/>
        <w:gridCol w:w="1578"/>
      </w:tblGrid>
      <w:tr w:rsidR="00ED0E0F" w:rsidRPr="00ED0E0F" w14:paraId="01242291" w14:textId="77777777" w:rsidTr="00F16F2C">
        <w:trPr>
          <w:trHeight w:val="321"/>
        </w:trPr>
        <w:tc>
          <w:tcPr>
            <w:tcW w:w="2739" w:type="dxa"/>
            <w:tcBorders>
              <w:top w:val="nil"/>
              <w:left w:val="nil"/>
              <w:bottom w:val="nil"/>
              <w:right w:val="nil"/>
            </w:tcBorders>
            <w:shd w:val="clear" w:color="auto" w:fill="auto"/>
            <w:noWrap/>
            <w:vAlign w:val="bottom"/>
            <w:hideMark/>
          </w:tcPr>
          <w:p w14:paraId="134664E7" w14:textId="77777777" w:rsidR="00ED0E0F" w:rsidRPr="00ED0E0F" w:rsidRDefault="00ED0E0F" w:rsidP="00F16F2C">
            <w:pPr>
              <w:rPr>
                <w:rFonts w:eastAsia="Times New Roman"/>
                <w:bCs/>
                <w:color w:val="222222"/>
                <w:sz w:val="22"/>
                <w:szCs w:val="22"/>
              </w:rPr>
            </w:pPr>
          </w:p>
          <w:p w14:paraId="0E99A15A" w14:textId="77777777" w:rsidR="00ED0E0F" w:rsidRPr="00ED0E0F" w:rsidRDefault="00ED0E0F" w:rsidP="00F16F2C">
            <w:pPr>
              <w:rPr>
                <w:rFonts w:eastAsia="Times New Roman"/>
                <w:bCs/>
                <w:color w:val="222222"/>
                <w:sz w:val="22"/>
                <w:szCs w:val="22"/>
              </w:rPr>
            </w:pPr>
            <w:r w:rsidRPr="00ED0E0F">
              <w:rPr>
                <w:rFonts w:eastAsia="Times New Roman"/>
                <w:bCs/>
                <w:color w:val="222222"/>
                <w:sz w:val="22"/>
                <w:szCs w:val="22"/>
              </w:rPr>
              <w:t>UNITS IN STRUCTURE</w:t>
            </w:r>
          </w:p>
        </w:tc>
        <w:tc>
          <w:tcPr>
            <w:tcW w:w="1698" w:type="dxa"/>
            <w:tcBorders>
              <w:top w:val="nil"/>
              <w:left w:val="nil"/>
              <w:bottom w:val="nil"/>
              <w:right w:val="nil"/>
            </w:tcBorders>
            <w:shd w:val="clear" w:color="auto" w:fill="auto"/>
            <w:noWrap/>
            <w:vAlign w:val="bottom"/>
            <w:hideMark/>
          </w:tcPr>
          <w:p w14:paraId="36CFAC59"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Number 2000</w:t>
            </w:r>
          </w:p>
        </w:tc>
        <w:tc>
          <w:tcPr>
            <w:tcW w:w="1676" w:type="dxa"/>
            <w:tcBorders>
              <w:top w:val="nil"/>
              <w:left w:val="nil"/>
              <w:bottom w:val="nil"/>
              <w:right w:val="nil"/>
            </w:tcBorders>
            <w:shd w:val="clear" w:color="auto" w:fill="auto"/>
            <w:noWrap/>
            <w:vAlign w:val="bottom"/>
            <w:hideMark/>
          </w:tcPr>
          <w:p w14:paraId="5813A414"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Percent</w:t>
            </w:r>
          </w:p>
        </w:tc>
        <w:tc>
          <w:tcPr>
            <w:tcW w:w="1578" w:type="dxa"/>
            <w:tcBorders>
              <w:top w:val="nil"/>
              <w:left w:val="nil"/>
              <w:bottom w:val="nil"/>
              <w:right w:val="nil"/>
            </w:tcBorders>
            <w:shd w:val="clear" w:color="auto" w:fill="auto"/>
            <w:noWrap/>
            <w:vAlign w:val="bottom"/>
            <w:hideMark/>
          </w:tcPr>
          <w:p w14:paraId="048A73A1"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Number 2010</w:t>
            </w:r>
          </w:p>
        </w:tc>
        <w:tc>
          <w:tcPr>
            <w:tcW w:w="1578" w:type="dxa"/>
            <w:tcBorders>
              <w:top w:val="nil"/>
              <w:left w:val="nil"/>
              <w:bottom w:val="nil"/>
              <w:right w:val="nil"/>
            </w:tcBorders>
            <w:shd w:val="clear" w:color="auto" w:fill="auto"/>
            <w:noWrap/>
            <w:vAlign w:val="bottom"/>
            <w:hideMark/>
          </w:tcPr>
          <w:p w14:paraId="4E828B3B"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Percent</w:t>
            </w:r>
          </w:p>
        </w:tc>
      </w:tr>
      <w:tr w:rsidR="00ED0E0F" w:rsidRPr="00ED0E0F" w14:paraId="0A70FE0E" w14:textId="77777777" w:rsidTr="00F16F2C">
        <w:trPr>
          <w:trHeight w:val="321"/>
        </w:trPr>
        <w:tc>
          <w:tcPr>
            <w:tcW w:w="2739" w:type="dxa"/>
            <w:tcBorders>
              <w:top w:val="nil"/>
              <w:left w:val="nil"/>
              <w:bottom w:val="nil"/>
              <w:right w:val="nil"/>
            </w:tcBorders>
            <w:shd w:val="clear" w:color="auto" w:fill="auto"/>
            <w:noWrap/>
            <w:vAlign w:val="bottom"/>
            <w:hideMark/>
          </w:tcPr>
          <w:p w14:paraId="624EB6C4" w14:textId="77777777" w:rsidR="00ED0E0F" w:rsidRPr="00ED0E0F" w:rsidRDefault="00ED0E0F" w:rsidP="00F16F2C">
            <w:pPr>
              <w:rPr>
                <w:rFonts w:eastAsia="Times New Roman"/>
                <w:bCs/>
                <w:color w:val="222222"/>
                <w:sz w:val="22"/>
                <w:szCs w:val="22"/>
              </w:rPr>
            </w:pPr>
            <w:r w:rsidRPr="00ED0E0F">
              <w:rPr>
                <w:rFonts w:eastAsia="Times New Roman"/>
                <w:bCs/>
                <w:color w:val="222222"/>
                <w:sz w:val="22"/>
                <w:szCs w:val="22"/>
              </w:rPr>
              <w:t>1-unit, detached</w:t>
            </w:r>
          </w:p>
        </w:tc>
        <w:tc>
          <w:tcPr>
            <w:tcW w:w="1698" w:type="dxa"/>
            <w:tcBorders>
              <w:top w:val="nil"/>
              <w:left w:val="nil"/>
              <w:bottom w:val="nil"/>
              <w:right w:val="nil"/>
            </w:tcBorders>
            <w:shd w:val="clear" w:color="auto" w:fill="auto"/>
            <w:noWrap/>
            <w:vAlign w:val="bottom"/>
            <w:hideMark/>
          </w:tcPr>
          <w:p w14:paraId="00C66FD9"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1,257</w:t>
            </w:r>
          </w:p>
        </w:tc>
        <w:tc>
          <w:tcPr>
            <w:tcW w:w="1676" w:type="dxa"/>
            <w:tcBorders>
              <w:top w:val="nil"/>
              <w:left w:val="nil"/>
              <w:bottom w:val="nil"/>
              <w:right w:val="nil"/>
            </w:tcBorders>
            <w:shd w:val="clear" w:color="auto" w:fill="auto"/>
            <w:noWrap/>
            <w:vAlign w:val="bottom"/>
            <w:hideMark/>
          </w:tcPr>
          <w:p w14:paraId="57BD9353"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61.8%</w:t>
            </w:r>
          </w:p>
        </w:tc>
        <w:tc>
          <w:tcPr>
            <w:tcW w:w="1578" w:type="dxa"/>
            <w:tcBorders>
              <w:top w:val="nil"/>
              <w:left w:val="nil"/>
              <w:bottom w:val="nil"/>
              <w:right w:val="nil"/>
            </w:tcBorders>
            <w:shd w:val="clear" w:color="auto" w:fill="auto"/>
            <w:noWrap/>
            <w:vAlign w:val="bottom"/>
            <w:hideMark/>
          </w:tcPr>
          <w:p w14:paraId="1EC9B989"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1,284</w:t>
            </w:r>
          </w:p>
        </w:tc>
        <w:tc>
          <w:tcPr>
            <w:tcW w:w="1578" w:type="dxa"/>
            <w:tcBorders>
              <w:top w:val="nil"/>
              <w:left w:val="nil"/>
              <w:bottom w:val="nil"/>
              <w:right w:val="nil"/>
            </w:tcBorders>
            <w:shd w:val="clear" w:color="auto" w:fill="auto"/>
            <w:noWrap/>
            <w:vAlign w:val="bottom"/>
            <w:hideMark/>
          </w:tcPr>
          <w:p w14:paraId="3BDF8EAB"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61.1%</w:t>
            </w:r>
          </w:p>
        </w:tc>
      </w:tr>
      <w:tr w:rsidR="00ED0E0F" w:rsidRPr="00ED0E0F" w14:paraId="7844126D" w14:textId="77777777" w:rsidTr="00F16F2C">
        <w:trPr>
          <w:trHeight w:val="321"/>
        </w:trPr>
        <w:tc>
          <w:tcPr>
            <w:tcW w:w="2739" w:type="dxa"/>
            <w:tcBorders>
              <w:top w:val="nil"/>
              <w:left w:val="nil"/>
              <w:bottom w:val="nil"/>
              <w:right w:val="nil"/>
            </w:tcBorders>
            <w:shd w:val="clear" w:color="auto" w:fill="auto"/>
            <w:noWrap/>
            <w:vAlign w:val="bottom"/>
            <w:hideMark/>
          </w:tcPr>
          <w:p w14:paraId="2BCF20F3" w14:textId="77777777" w:rsidR="00ED0E0F" w:rsidRPr="00ED0E0F" w:rsidRDefault="00ED0E0F" w:rsidP="00F16F2C">
            <w:pPr>
              <w:rPr>
                <w:rFonts w:eastAsia="Times New Roman"/>
                <w:bCs/>
                <w:color w:val="222222"/>
                <w:sz w:val="22"/>
                <w:szCs w:val="22"/>
              </w:rPr>
            </w:pPr>
            <w:r w:rsidRPr="00ED0E0F">
              <w:rPr>
                <w:rFonts w:eastAsia="Times New Roman"/>
                <w:bCs/>
                <w:color w:val="222222"/>
                <w:sz w:val="22"/>
                <w:szCs w:val="22"/>
              </w:rPr>
              <w:t>1-unit, attached</w:t>
            </w:r>
          </w:p>
        </w:tc>
        <w:tc>
          <w:tcPr>
            <w:tcW w:w="1698" w:type="dxa"/>
            <w:tcBorders>
              <w:top w:val="nil"/>
              <w:left w:val="nil"/>
              <w:bottom w:val="nil"/>
              <w:right w:val="nil"/>
            </w:tcBorders>
            <w:shd w:val="clear" w:color="auto" w:fill="auto"/>
            <w:noWrap/>
            <w:vAlign w:val="bottom"/>
            <w:hideMark/>
          </w:tcPr>
          <w:p w14:paraId="442FD727"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36</w:t>
            </w:r>
          </w:p>
        </w:tc>
        <w:tc>
          <w:tcPr>
            <w:tcW w:w="1676" w:type="dxa"/>
            <w:tcBorders>
              <w:top w:val="nil"/>
              <w:left w:val="nil"/>
              <w:bottom w:val="nil"/>
              <w:right w:val="nil"/>
            </w:tcBorders>
            <w:shd w:val="clear" w:color="auto" w:fill="auto"/>
            <w:noWrap/>
            <w:vAlign w:val="bottom"/>
            <w:hideMark/>
          </w:tcPr>
          <w:p w14:paraId="7A5DDAF1"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1.8%</w:t>
            </w:r>
          </w:p>
        </w:tc>
        <w:tc>
          <w:tcPr>
            <w:tcW w:w="1578" w:type="dxa"/>
            <w:tcBorders>
              <w:top w:val="nil"/>
              <w:left w:val="nil"/>
              <w:bottom w:val="nil"/>
              <w:right w:val="nil"/>
            </w:tcBorders>
            <w:shd w:val="clear" w:color="auto" w:fill="auto"/>
            <w:noWrap/>
            <w:vAlign w:val="bottom"/>
            <w:hideMark/>
          </w:tcPr>
          <w:p w14:paraId="7DA53F57"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138</w:t>
            </w:r>
          </w:p>
        </w:tc>
        <w:tc>
          <w:tcPr>
            <w:tcW w:w="1578" w:type="dxa"/>
            <w:tcBorders>
              <w:top w:val="nil"/>
              <w:left w:val="nil"/>
              <w:bottom w:val="nil"/>
              <w:right w:val="nil"/>
            </w:tcBorders>
            <w:shd w:val="clear" w:color="auto" w:fill="auto"/>
            <w:noWrap/>
            <w:vAlign w:val="bottom"/>
            <w:hideMark/>
          </w:tcPr>
          <w:p w14:paraId="477BED1B"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6.6%</w:t>
            </w:r>
          </w:p>
        </w:tc>
      </w:tr>
      <w:tr w:rsidR="00ED0E0F" w:rsidRPr="00ED0E0F" w14:paraId="38439DF9" w14:textId="77777777" w:rsidTr="00F16F2C">
        <w:trPr>
          <w:trHeight w:val="321"/>
        </w:trPr>
        <w:tc>
          <w:tcPr>
            <w:tcW w:w="2739" w:type="dxa"/>
            <w:tcBorders>
              <w:top w:val="nil"/>
              <w:left w:val="nil"/>
              <w:bottom w:val="nil"/>
              <w:right w:val="nil"/>
            </w:tcBorders>
            <w:shd w:val="clear" w:color="auto" w:fill="auto"/>
            <w:noWrap/>
            <w:vAlign w:val="bottom"/>
            <w:hideMark/>
          </w:tcPr>
          <w:p w14:paraId="6683D5D5" w14:textId="77777777" w:rsidR="00ED0E0F" w:rsidRPr="00ED0E0F" w:rsidRDefault="00ED0E0F" w:rsidP="00F16F2C">
            <w:pPr>
              <w:rPr>
                <w:rFonts w:eastAsia="Times New Roman"/>
                <w:bCs/>
                <w:color w:val="222222"/>
                <w:sz w:val="22"/>
                <w:szCs w:val="22"/>
              </w:rPr>
            </w:pPr>
            <w:r w:rsidRPr="00ED0E0F">
              <w:rPr>
                <w:rFonts w:eastAsia="Times New Roman"/>
                <w:bCs/>
                <w:color w:val="222222"/>
                <w:sz w:val="22"/>
                <w:szCs w:val="22"/>
              </w:rPr>
              <w:t>2 units</w:t>
            </w:r>
          </w:p>
        </w:tc>
        <w:tc>
          <w:tcPr>
            <w:tcW w:w="1698" w:type="dxa"/>
            <w:tcBorders>
              <w:top w:val="nil"/>
              <w:left w:val="nil"/>
              <w:bottom w:val="nil"/>
              <w:right w:val="nil"/>
            </w:tcBorders>
            <w:shd w:val="clear" w:color="auto" w:fill="auto"/>
            <w:noWrap/>
            <w:vAlign w:val="bottom"/>
            <w:hideMark/>
          </w:tcPr>
          <w:p w14:paraId="6AAF3E7E"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118</w:t>
            </w:r>
          </w:p>
        </w:tc>
        <w:tc>
          <w:tcPr>
            <w:tcW w:w="1676" w:type="dxa"/>
            <w:tcBorders>
              <w:top w:val="nil"/>
              <w:left w:val="nil"/>
              <w:bottom w:val="nil"/>
              <w:right w:val="nil"/>
            </w:tcBorders>
            <w:shd w:val="clear" w:color="auto" w:fill="auto"/>
            <w:noWrap/>
            <w:vAlign w:val="bottom"/>
            <w:hideMark/>
          </w:tcPr>
          <w:p w14:paraId="5FFD5A1D"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5.8%</w:t>
            </w:r>
          </w:p>
        </w:tc>
        <w:tc>
          <w:tcPr>
            <w:tcW w:w="1578" w:type="dxa"/>
            <w:tcBorders>
              <w:top w:val="nil"/>
              <w:left w:val="nil"/>
              <w:bottom w:val="nil"/>
              <w:right w:val="nil"/>
            </w:tcBorders>
            <w:shd w:val="clear" w:color="auto" w:fill="auto"/>
            <w:noWrap/>
            <w:vAlign w:val="bottom"/>
            <w:hideMark/>
          </w:tcPr>
          <w:p w14:paraId="1576EB6C"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87</w:t>
            </w:r>
          </w:p>
        </w:tc>
        <w:tc>
          <w:tcPr>
            <w:tcW w:w="1578" w:type="dxa"/>
            <w:tcBorders>
              <w:top w:val="nil"/>
              <w:left w:val="nil"/>
              <w:bottom w:val="nil"/>
              <w:right w:val="nil"/>
            </w:tcBorders>
            <w:shd w:val="clear" w:color="auto" w:fill="auto"/>
            <w:noWrap/>
            <w:vAlign w:val="bottom"/>
            <w:hideMark/>
          </w:tcPr>
          <w:p w14:paraId="0E323C65"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4.1%</w:t>
            </w:r>
          </w:p>
        </w:tc>
      </w:tr>
      <w:tr w:rsidR="00ED0E0F" w:rsidRPr="00ED0E0F" w14:paraId="35FDC5CC" w14:textId="77777777" w:rsidTr="00F16F2C">
        <w:trPr>
          <w:trHeight w:val="321"/>
        </w:trPr>
        <w:tc>
          <w:tcPr>
            <w:tcW w:w="2739" w:type="dxa"/>
            <w:tcBorders>
              <w:top w:val="nil"/>
              <w:left w:val="nil"/>
              <w:bottom w:val="nil"/>
              <w:right w:val="nil"/>
            </w:tcBorders>
            <w:shd w:val="clear" w:color="auto" w:fill="auto"/>
            <w:noWrap/>
            <w:vAlign w:val="bottom"/>
            <w:hideMark/>
          </w:tcPr>
          <w:p w14:paraId="1510248A" w14:textId="77777777" w:rsidR="00ED0E0F" w:rsidRPr="00ED0E0F" w:rsidRDefault="00ED0E0F" w:rsidP="00F16F2C">
            <w:pPr>
              <w:rPr>
                <w:rFonts w:eastAsia="Times New Roman"/>
                <w:bCs/>
                <w:color w:val="222222"/>
                <w:sz w:val="22"/>
                <w:szCs w:val="22"/>
              </w:rPr>
            </w:pPr>
            <w:r w:rsidRPr="00ED0E0F">
              <w:rPr>
                <w:rFonts w:eastAsia="Times New Roman"/>
                <w:bCs/>
                <w:color w:val="222222"/>
                <w:sz w:val="22"/>
                <w:szCs w:val="22"/>
              </w:rPr>
              <w:t>3 or 4 units</w:t>
            </w:r>
          </w:p>
        </w:tc>
        <w:tc>
          <w:tcPr>
            <w:tcW w:w="1698" w:type="dxa"/>
            <w:tcBorders>
              <w:top w:val="nil"/>
              <w:left w:val="nil"/>
              <w:bottom w:val="nil"/>
              <w:right w:val="nil"/>
            </w:tcBorders>
            <w:shd w:val="clear" w:color="auto" w:fill="auto"/>
            <w:noWrap/>
            <w:vAlign w:val="bottom"/>
            <w:hideMark/>
          </w:tcPr>
          <w:p w14:paraId="275675C3"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63</w:t>
            </w:r>
          </w:p>
        </w:tc>
        <w:tc>
          <w:tcPr>
            <w:tcW w:w="1676" w:type="dxa"/>
            <w:tcBorders>
              <w:top w:val="nil"/>
              <w:left w:val="nil"/>
              <w:bottom w:val="nil"/>
              <w:right w:val="nil"/>
            </w:tcBorders>
            <w:shd w:val="clear" w:color="auto" w:fill="auto"/>
            <w:noWrap/>
            <w:vAlign w:val="bottom"/>
            <w:hideMark/>
          </w:tcPr>
          <w:p w14:paraId="3AF07316"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3.1%</w:t>
            </w:r>
          </w:p>
        </w:tc>
        <w:tc>
          <w:tcPr>
            <w:tcW w:w="1578" w:type="dxa"/>
            <w:tcBorders>
              <w:top w:val="nil"/>
              <w:left w:val="nil"/>
              <w:bottom w:val="nil"/>
              <w:right w:val="nil"/>
            </w:tcBorders>
            <w:shd w:val="clear" w:color="auto" w:fill="auto"/>
            <w:noWrap/>
            <w:vAlign w:val="bottom"/>
            <w:hideMark/>
          </w:tcPr>
          <w:p w14:paraId="357BE424"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109</w:t>
            </w:r>
          </w:p>
        </w:tc>
        <w:tc>
          <w:tcPr>
            <w:tcW w:w="1578" w:type="dxa"/>
            <w:tcBorders>
              <w:top w:val="nil"/>
              <w:left w:val="nil"/>
              <w:bottom w:val="nil"/>
              <w:right w:val="nil"/>
            </w:tcBorders>
            <w:shd w:val="clear" w:color="auto" w:fill="auto"/>
            <w:noWrap/>
            <w:vAlign w:val="bottom"/>
            <w:hideMark/>
          </w:tcPr>
          <w:p w14:paraId="6CEC080D"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5.2%</w:t>
            </w:r>
          </w:p>
        </w:tc>
      </w:tr>
      <w:tr w:rsidR="00ED0E0F" w:rsidRPr="00ED0E0F" w14:paraId="002990BE" w14:textId="77777777" w:rsidTr="00F16F2C">
        <w:trPr>
          <w:trHeight w:val="321"/>
        </w:trPr>
        <w:tc>
          <w:tcPr>
            <w:tcW w:w="2739" w:type="dxa"/>
            <w:tcBorders>
              <w:top w:val="nil"/>
              <w:left w:val="nil"/>
              <w:bottom w:val="nil"/>
              <w:right w:val="nil"/>
            </w:tcBorders>
            <w:shd w:val="clear" w:color="auto" w:fill="auto"/>
            <w:noWrap/>
            <w:vAlign w:val="bottom"/>
            <w:hideMark/>
          </w:tcPr>
          <w:p w14:paraId="6399EC50" w14:textId="77777777" w:rsidR="00ED0E0F" w:rsidRPr="00ED0E0F" w:rsidRDefault="00ED0E0F" w:rsidP="00F16F2C">
            <w:pPr>
              <w:rPr>
                <w:rFonts w:eastAsia="Times New Roman"/>
                <w:bCs/>
                <w:color w:val="222222"/>
                <w:sz w:val="22"/>
                <w:szCs w:val="22"/>
              </w:rPr>
            </w:pPr>
            <w:r w:rsidRPr="00ED0E0F">
              <w:rPr>
                <w:rFonts w:eastAsia="Times New Roman"/>
                <w:bCs/>
                <w:color w:val="222222"/>
                <w:sz w:val="22"/>
                <w:szCs w:val="22"/>
              </w:rPr>
              <w:t>5 to 9 units</w:t>
            </w:r>
          </w:p>
        </w:tc>
        <w:tc>
          <w:tcPr>
            <w:tcW w:w="1698" w:type="dxa"/>
            <w:tcBorders>
              <w:top w:val="nil"/>
              <w:left w:val="nil"/>
              <w:bottom w:val="nil"/>
              <w:right w:val="nil"/>
            </w:tcBorders>
            <w:shd w:val="clear" w:color="auto" w:fill="auto"/>
            <w:noWrap/>
            <w:vAlign w:val="bottom"/>
            <w:hideMark/>
          </w:tcPr>
          <w:p w14:paraId="230BA4A9"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73</w:t>
            </w:r>
          </w:p>
        </w:tc>
        <w:tc>
          <w:tcPr>
            <w:tcW w:w="1676" w:type="dxa"/>
            <w:tcBorders>
              <w:top w:val="nil"/>
              <w:left w:val="nil"/>
              <w:bottom w:val="nil"/>
              <w:right w:val="nil"/>
            </w:tcBorders>
            <w:shd w:val="clear" w:color="auto" w:fill="auto"/>
            <w:noWrap/>
            <w:vAlign w:val="bottom"/>
            <w:hideMark/>
          </w:tcPr>
          <w:p w14:paraId="10B8BAF1"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3.6%</w:t>
            </w:r>
          </w:p>
        </w:tc>
        <w:tc>
          <w:tcPr>
            <w:tcW w:w="1578" w:type="dxa"/>
            <w:tcBorders>
              <w:top w:val="nil"/>
              <w:left w:val="nil"/>
              <w:bottom w:val="nil"/>
              <w:right w:val="nil"/>
            </w:tcBorders>
            <w:shd w:val="clear" w:color="auto" w:fill="auto"/>
            <w:noWrap/>
            <w:vAlign w:val="bottom"/>
            <w:hideMark/>
          </w:tcPr>
          <w:p w14:paraId="19E87756"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51</w:t>
            </w:r>
          </w:p>
        </w:tc>
        <w:tc>
          <w:tcPr>
            <w:tcW w:w="1578" w:type="dxa"/>
            <w:tcBorders>
              <w:top w:val="nil"/>
              <w:left w:val="nil"/>
              <w:bottom w:val="nil"/>
              <w:right w:val="nil"/>
            </w:tcBorders>
            <w:shd w:val="clear" w:color="auto" w:fill="auto"/>
            <w:noWrap/>
            <w:vAlign w:val="bottom"/>
            <w:hideMark/>
          </w:tcPr>
          <w:p w14:paraId="0636D22C"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2.4%</w:t>
            </w:r>
          </w:p>
        </w:tc>
      </w:tr>
      <w:tr w:rsidR="00ED0E0F" w:rsidRPr="00ED0E0F" w14:paraId="56C15DF8" w14:textId="77777777" w:rsidTr="00F16F2C">
        <w:trPr>
          <w:trHeight w:val="321"/>
        </w:trPr>
        <w:tc>
          <w:tcPr>
            <w:tcW w:w="2739" w:type="dxa"/>
            <w:tcBorders>
              <w:top w:val="nil"/>
              <w:left w:val="nil"/>
              <w:bottom w:val="nil"/>
              <w:right w:val="nil"/>
            </w:tcBorders>
            <w:shd w:val="clear" w:color="auto" w:fill="auto"/>
            <w:noWrap/>
            <w:vAlign w:val="bottom"/>
            <w:hideMark/>
          </w:tcPr>
          <w:p w14:paraId="55A289B0" w14:textId="77777777" w:rsidR="00ED0E0F" w:rsidRPr="00ED0E0F" w:rsidRDefault="00ED0E0F" w:rsidP="00F16F2C">
            <w:pPr>
              <w:rPr>
                <w:rFonts w:eastAsia="Times New Roman"/>
                <w:bCs/>
                <w:color w:val="222222"/>
                <w:sz w:val="22"/>
                <w:szCs w:val="22"/>
              </w:rPr>
            </w:pPr>
            <w:r w:rsidRPr="00ED0E0F">
              <w:rPr>
                <w:rFonts w:eastAsia="Times New Roman"/>
                <w:bCs/>
                <w:color w:val="222222"/>
                <w:sz w:val="22"/>
                <w:szCs w:val="22"/>
              </w:rPr>
              <w:t>10 to 19 units</w:t>
            </w:r>
          </w:p>
        </w:tc>
        <w:tc>
          <w:tcPr>
            <w:tcW w:w="1698" w:type="dxa"/>
            <w:tcBorders>
              <w:top w:val="nil"/>
              <w:left w:val="nil"/>
              <w:bottom w:val="nil"/>
              <w:right w:val="nil"/>
            </w:tcBorders>
            <w:shd w:val="clear" w:color="auto" w:fill="auto"/>
            <w:noWrap/>
            <w:vAlign w:val="bottom"/>
            <w:hideMark/>
          </w:tcPr>
          <w:p w14:paraId="5788F569"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218</w:t>
            </w:r>
          </w:p>
        </w:tc>
        <w:tc>
          <w:tcPr>
            <w:tcW w:w="1676" w:type="dxa"/>
            <w:tcBorders>
              <w:top w:val="nil"/>
              <w:left w:val="nil"/>
              <w:bottom w:val="nil"/>
              <w:right w:val="nil"/>
            </w:tcBorders>
            <w:shd w:val="clear" w:color="auto" w:fill="auto"/>
            <w:noWrap/>
            <w:vAlign w:val="bottom"/>
            <w:hideMark/>
          </w:tcPr>
          <w:p w14:paraId="3C3BA884"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10.7%</w:t>
            </w:r>
          </w:p>
        </w:tc>
        <w:tc>
          <w:tcPr>
            <w:tcW w:w="1578" w:type="dxa"/>
            <w:tcBorders>
              <w:top w:val="nil"/>
              <w:left w:val="nil"/>
              <w:bottom w:val="nil"/>
              <w:right w:val="nil"/>
            </w:tcBorders>
            <w:shd w:val="clear" w:color="auto" w:fill="auto"/>
            <w:noWrap/>
            <w:vAlign w:val="bottom"/>
            <w:hideMark/>
          </w:tcPr>
          <w:p w14:paraId="57BCB4F5"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198</w:t>
            </w:r>
          </w:p>
        </w:tc>
        <w:tc>
          <w:tcPr>
            <w:tcW w:w="1578" w:type="dxa"/>
            <w:tcBorders>
              <w:top w:val="nil"/>
              <w:left w:val="nil"/>
              <w:bottom w:val="nil"/>
              <w:right w:val="nil"/>
            </w:tcBorders>
            <w:shd w:val="clear" w:color="auto" w:fill="auto"/>
            <w:noWrap/>
            <w:vAlign w:val="bottom"/>
            <w:hideMark/>
          </w:tcPr>
          <w:p w14:paraId="7D76EF25"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9.4%</w:t>
            </w:r>
          </w:p>
        </w:tc>
      </w:tr>
      <w:tr w:rsidR="00ED0E0F" w:rsidRPr="00ED0E0F" w14:paraId="26661AC9" w14:textId="77777777" w:rsidTr="00F16F2C">
        <w:trPr>
          <w:trHeight w:val="321"/>
        </w:trPr>
        <w:tc>
          <w:tcPr>
            <w:tcW w:w="2739" w:type="dxa"/>
            <w:tcBorders>
              <w:top w:val="nil"/>
              <w:left w:val="nil"/>
              <w:bottom w:val="nil"/>
              <w:right w:val="nil"/>
            </w:tcBorders>
            <w:shd w:val="clear" w:color="auto" w:fill="auto"/>
            <w:noWrap/>
            <w:vAlign w:val="bottom"/>
            <w:hideMark/>
          </w:tcPr>
          <w:p w14:paraId="533ED2ED" w14:textId="77777777" w:rsidR="00ED0E0F" w:rsidRPr="00ED0E0F" w:rsidRDefault="00ED0E0F" w:rsidP="00F16F2C">
            <w:pPr>
              <w:rPr>
                <w:rFonts w:eastAsia="Times New Roman"/>
                <w:bCs/>
                <w:color w:val="222222"/>
                <w:sz w:val="22"/>
                <w:szCs w:val="22"/>
              </w:rPr>
            </w:pPr>
            <w:r w:rsidRPr="00ED0E0F">
              <w:rPr>
                <w:rFonts w:eastAsia="Times New Roman"/>
                <w:bCs/>
                <w:color w:val="222222"/>
                <w:sz w:val="22"/>
                <w:szCs w:val="22"/>
              </w:rPr>
              <w:t>20 or more units</w:t>
            </w:r>
          </w:p>
        </w:tc>
        <w:tc>
          <w:tcPr>
            <w:tcW w:w="1698" w:type="dxa"/>
            <w:tcBorders>
              <w:top w:val="nil"/>
              <w:left w:val="nil"/>
              <w:bottom w:val="nil"/>
              <w:right w:val="nil"/>
            </w:tcBorders>
            <w:shd w:val="clear" w:color="auto" w:fill="auto"/>
            <w:noWrap/>
            <w:vAlign w:val="bottom"/>
            <w:hideMark/>
          </w:tcPr>
          <w:p w14:paraId="2C2EB427"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207</w:t>
            </w:r>
          </w:p>
        </w:tc>
        <w:tc>
          <w:tcPr>
            <w:tcW w:w="1676" w:type="dxa"/>
            <w:tcBorders>
              <w:top w:val="nil"/>
              <w:left w:val="nil"/>
              <w:bottom w:val="nil"/>
              <w:right w:val="nil"/>
            </w:tcBorders>
            <w:shd w:val="clear" w:color="auto" w:fill="auto"/>
            <w:noWrap/>
            <w:vAlign w:val="bottom"/>
            <w:hideMark/>
          </w:tcPr>
          <w:p w14:paraId="16C1FEC8"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10.2%</w:t>
            </w:r>
          </w:p>
        </w:tc>
        <w:tc>
          <w:tcPr>
            <w:tcW w:w="1578" w:type="dxa"/>
            <w:tcBorders>
              <w:top w:val="nil"/>
              <w:left w:val="nil"/>
              <w:bottom w:val="nil"/>
              <w:right w:val="nil"/>
            </w:tcBorders>
            <w:shd w:val="clear" w:color="auto" w:fill="auto"/>
            <w:noWrap/>
            <w:vAlign w:val="bottom"/>
            <w:hideMark/>
          </w:tcPr>
          <w:p w14:paraId="2B58047E"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220</w:t>
            </w:r>
          </w:p>
        </w:tc>
        <w:tc>
          <w:tcPr>
            <w:tcW w:w="1578" w:type="dxa"/>
            <w:tcBorders>
              <w:top w:val="nil"/>
              <w:left w:val="nil"/>
              <w:bottom w:val="nil"/>
              <w:right w:val="nil"/>
            </w:tcBorders>
            <w:shd w:val="clear" w:color="auto" w:fill="auto"/>
            <w:noWrap/>
            <w:vAlign w:val="bottom"/>
            <w:hideMark/>
          </w:tcPr>
          <w:p w14:paraId="6AB11456"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10.5%</w:t>
            </w:r>
          </w:p>
        </w:tc>
      </w:tr>
      <w:tr w:rsidR="00ED0E0F" w:rsidRPr="00ED0E0F" w14:paraId="0160A847" w14:textId="77777777" w:rsidTr="00F16F2C">
        <w:trPr>
          <w:trHeight w:val="321"/>
        </w:trPr>
        <w:tc>
          <w:tcPr>
            <w:tcW w:w="2739" w:type="dxa"/>
            <w:tcBorders>
              <w:top w:val="nil"/>
              <w:left w:val="nil"/>
              <w:bottom w:val="nil"/>
              <w:right w:val="nil"/>
            </w:tcBorders>
            <w:shd w:val="clear" w:color="auto" w:fill="auto"/>
            <w:noWrap/>
            <w:vAlign w:val="bottom"/>
            <w:hideMark/>
          </w:tcPr>
          <w:p w14:paraId="361E47F1" w14:textId="77777777" w:rsidR="00ED0E0F" w:rsidRPr="00ED0E0F" w:rsidRDefault="00ED0E0F" w:rsidP="00F16F2C">
            <w:pPr>
              <w:rPr>
                <w:rFonts w:eastAsia="Times New Roman"/>
                <w:bCs/>
                <w:color w:val="222222"/>
                <w:sz w:val="22"/>
                <w:szCs w:val="22"/>
              </w:rPr>
            </w:pPr>
            <w:r w:rsidRPr="00ED0E0F">
              <w:rPr>
                <w:rFonts w:eastAsia="Times New Roman"/>
                <w:bCs/>
                <w:color w:val="222222"/>
                <w:sz w:val="22"/>
                <w:szCs w:val="22"/>
              </w:rPr>
              <w:t>Mobile home</w:t>
            </w:r>
          </w:p>
        </w:tc>
        <w:tc>
          <w:tcPr>
            <w:tcW w:w="1698" w:type="dxa"/>
            <w:tcBorders>
              <w:top w:val="nil"/>
              <w:left w:val="nil"/>
              <w:bottom w:val="nil"/>
              <w:right w:val="nil"/>
            </w:tcBorders>
            <w:shd w:val="clear" w:color="auto" w:fill="auto"/>
            <w:noWrap/>
            <w:vAlign w:val="bottom"/>
            <w:hideMark/>
          </w:tcPr>
          <w:p w14:paraId="42BAC7DC"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62</w:t>
            </w:r>
          </w:p>
        </w:tc>
        <w:tc>
          <w:tcPr>
            <w:tcW w:w="1676" w:type="dxa"/>
            <w:tcBorders>
              <w:top w:val="nil"/>
              <w:left w:val="nil"/>
              <w:bottom w:val="nil"/>
              <w:right w:val="nil"/>
            </w:tcBorders>
            <w:shd w:val="clear" w:color="auto" w:fill="auto"/>
            <w:noWrap/>
            <w:vAlign w:val="bottom"/>
            <w:hideMark/>
          </w:tcPr>
          <w:p w14:paraId="12921E90"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3.0%</w:t>
            </w:r>
          </w:p>
        </w:tc>
        <w:tc>
          <w:tcPr>
            <w:tcW w:w="1578" w:type="dxa"/>
            <w:tcBorders>
              <w:top w:val="nil"/>
              <w:left w:val="nil"/>
              <w:bottom w:val="nil"/>
              <w:right w:val="nil"/>
            </w:tcBorders>
            <w:shd w:val="clear" w:color="auto" w:fill="auto"/>
            <w:noWrap/>
            <w:vAlign w:val="bottom"/>
            <w:hideMark/>
          </w:tcPr>
          <w:p w14:paraId="0AAB3369"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15</w:t>
            </w:r>
          </w:p>
        </w:tc>
        <w:tc>
          <w:tcPr>
            <w:tcW w:w="1578" w:type="dxa"/>
            <w:tcBorders>
              <w:top w:val="nil"/>
              <w:left w:val="nil"/>
              <w:bottom w:val="nil"/>
              <w:right w:val="nil"/>
            </w:tcBorders>
            <w:shd w:val="clear" w:color="auto" w:fill="auto"/>
            <w:noWrap/>
            <w:vAlign w:val="bottom"/>
            <w:hideMark/>
          </w:tcPr>
          <w:p w14:paraId="64E0065A"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0.7%</w:t>
            </w:r>
          </w:p>
        </w:tc>
      </w:tr>
      <w:tr w:rsidR="00ED0E0F" w:rsidRPr="00ED0E0F" w14:paraId="12AE9288" w14:textId="77777777" w:rsidTr="00F16F2C">
        <w:trPr>
          <w:trHeight w:val="321"/>
        </w:trPr>
        <w:tc>
          <w:tcPr>
            <w:tcW w:w="2739" w:type="dxa"/>
            <w:tcBorders>
              <w:top w:val="nil"/>
              <w:left w:val="nil"/>
              <w:bottom w:val="nil"/>
              <w:right w:val="nil"/>
            </w:tcBorders>
            <w:shd w:val="clear" w:color="auto" w:fill="auto"/>
            <w:noWrap/>
            <w:vAlign w:val="bottom"/>
            <w:hideMark/>
          </w:tcPr>
          <w:p w14:paraId="74246FC0" w14:textId="77777777" w:rsidR="00ED0E0F" w:rsidRPr="00ED0E0F" w:rsidRDefault="00ED0E0F" w:rsidP="00F16F2C">
            <w:pPr>
              <w:rPr>
                <w:rFonts w:eastAsia="Times New Roman"/>
                <w:bCs/>
                <w:color w:val="222222"/>
                <w:sz w:val="22"/>
                <w:szCs w:val="22"/>
              </w:rPr>
            </w:pPr>
            <w:r w:rsidRPr="00ED0E0F">
              <w:rPr>
                <w:rFonts w:eastAsia="Times New Roman"/>
                <w:bCs/>
                <w:color w:val="222222"/>
                <w:sz w:val="22"/>
                <w:szCs w:val="22"/>
              </w:rPr>
              <w:t>Boat, RV, van, etc.</w:t>
            </w:r>
          </w:p>
        </w:tc>
        <w:tc>
          <w:tcPr>
            <w:tcW w:w="1698" w:type="dxa"/>
            <w:tcBorders>
              <w:top w:val="nil"/>
              <w:left w:val="nil"/>
              <w:bottom w:val="nil"/>
              <w:right w:val="nil"/>
            </w:tcBorders>
            <w:shd w:val="clear" w:color="auto" w:fill="auto"/>
            <w:noWrap/>
            <w:vAlign w:val="bottom"/>
            <w:hideMark/>
          </w:tcPr>
          <w:p w14:paraId="34E00F4A" w14:textId="77777777" w:rsidR="00ED0E0F" w:rsidRPr="00ED0E0F" w:rsidRDefault="00ED0E0F" w:rsidP="00F16F2C">
            <w:pPr>
              <w:jc w:val="right"/>
              <w:rPr>
                <w:rFonts w:eastAsia="Times New Roman"/>
                <w:color w:val="000000"/>
                <w:sz w:val="22"/>
                <w:szCs w:val="22"/>
              </w:rPr>
            </w:pPr>
            <w:r w:rsidRPr="00ED0E0F">
              <w:rPr>
                <w:rFonts w:eastAsia="Times New Roman"/>
                <w:color w:val="000000"/>
                <w:sz w:val="22"/>
                <w:szCs w:val="22"/>
              </w:rPr>
              <w:t>0</w:t>
            </w:r>
          </w:p>
        </w:tc>
        <w:tc>
          <w:tcPr>
            <w:tcW w:w="1676" w:type="dxa"/>
            <w:tcBorders>
              <w:top w:val="nil"/>
              <w:left w:val="nil"/>
              <w:bottom w:val="nil"/>
              <w:right w:val="nil"/>
            </w:tcBorders>
            <w:shd w:val="clear" w:color="auto" w:fill="auto"/>
            <w:noWrap/>
            <w:vAlign w:val="bottom"/>
            <w:hideMark/>
          </w:tcPr>
          <w:p w14:paraId="12B7568A" w14:textId="77777777" w:rsidR="00ED0E0F" w:rsidRPr="00ED0E0F" w:rsidRDefault="00ED0E0F" w:rsidP="00F16F2C">
            <w:pPr>
              <w:jc w:val="right"/>
              <w:rPr>
                <w:rFonts w:eastAsia="Times New Roman"/>
                <w:color w:val="000000"/>
                <w:sz w:val="22"/>
                <w:szCs w:val="22"/>
              </w:rPr>
            </w:pPr>
            <w:r w:rsidRPr="00ED0E0F">
              <w:rPr>
                <w:rFonts w:eastAsia="Times New Roman"/>
                <w:color w:val="000000"/>
                <w:sz w:val="22"/>
                <w:szCs w:val="22"/>
              </w:rPr>
              <w:t>0.0%</w:t>
            </w:r>
          </w:p>
        </w:tc>
        <w:tc>
          <w:tcPr>
            <w:tcW w:w="1578" w:type="dxa"/>
            <w:tcBorders>
              <w:top w:val="nil"/>
              <w:left w:val="nil"/>
              <w:bottom w:val="nil"/>
              <w:right w:val="nil"/>
            </w:tcBorders>
            <w:shd w:val="clear" w:color="auto" w:fill="auto"/>
            <w:noWrap/>
            <w:vAlign w:val="bottom"/>
            <w:hideMark/>
          </w:tcPr>
          <w:p w14:paraId="1E7F98A5"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0</w:t>
            </w:r>
          </w:p>
        </w:tc>
        <w:tc>
          <w:tcPr>
            <w:tcW w:w="1578" w:type="dxa"/>
            <w:tcBorders>
              <w:top w:val="nil"/>
              <w:left w:val="nil"/>
              <w:bottom w:val="nil"/>
              <w:right w:val="nil"/>
            </w:tcBorders>
            <w:shd w:val="clear" w:color="auto" w:fill="auto"/>
            <w:noWrap/>
            <w:vAlign w:val="bottom"/>
            <w:hideMark/>
          </w:tcPr>
          <w:p w14:paraId="200FA160" w14:textId="77777777" w:rsidR="00ED0E0F" w:rsidRPr="00ED0E0F" w:rsidRDefault="00ED0E0F" w:rsidP="00F16F2C">
            <w:pPr>
              <w:jc w:val="right"/>
              <w:rPr>
                <w:rFonts w:eastAsia="Times New Roman"/>
                <w:color w:val="222222"/>
                <w:sz w:val="22"/>
                <w:szCs w:val="22"/>
              </w:rPr>
            </w:pPr>
            <w:r w:rsidRPr="00ED0E0F">
              <w:rPr>
                <w:rFonts w:eastAsia="Times New Roman"/>
                <w:color w:val="222222"/>
                <w:sz w:val="22"/>
                <w:szCs w:val="22"/>
              </w:rPr>
              <w:t>0.0%</w:t>
            </w:r>
          </w:p>
        </w:tc>
      </w:tr>
    </w:tbl>
    <w:p w14:paraId="4E3816CA" w14:textId="77777777" w:rsidR="00ED0E0F" w:rsidRPr="00ED0E0F" w:rsidRDefault="00ED0E0F" w:rsidP="00ED0E0F">
      <w:r w:rsidRPr="00ED0E0F">
        <w:t xml:space="preserve">Table 15 indicates that there has been more activity in creating housing with1-unit, attached. Mobile homes have also increased.  </w:t>
      </w:r>
    </w:p>
    <w:p w14:paraId="58CF23BD" w14:textId="77777777" w:rsidR="00ED0E0F" w:rsidRPr="00ED0E0F" w:rsidRDefault="00ED0E0F" w:rsidP="00ED0E0F"/>
    <w:p w14:paraId="1D9AFA21" w14:textId="77777777" w:rsidR="00ED0E0F" w:rsidRPr="00ED0E0F" w:rsidRDefault="00ED0E0F" w:rsidP="00ED0E0F"/>
    <w:p w14:paraId="5D7A901D" w14:textId="77777777" w:rsidR="00ED0E0F" w:rsidRPr="00ED0E0F" w:rsidRDefault="00ED0E0F" w:rsidP="00ED0E0F"/>
    <w:tbl>
      <w:tblPr>
        <w:tblW w:w="6210" w:type="dxa"/>
        <w:tblLook w:val="04A0" w:firstRow="1" w:lastRow="0" w:firstColumn="1" w:lastColumn="0" w:noHBand="0" w:noVBand="1"/>
      </w:tblPr>
      <w:tblGrid>
        <w:gridCol w:w="2886"/>
        <w:gridCol w:w="1662"/>
        <w:gridCol w:w="1662"/>
      </w:tblGrid>
      <w:tr w:rsidR="00ED0E0F" w:rsidRPr="00ED0E0F" w14:paraId="572C12B1" w14:textId="77777777" w:rsidTr="00F16F2C">
        <w:trPr>
          <w:trHeight w:val="328"/>
        </w:trPr>
        <w:tc>
          <w:tcPr>
            <w:tcW w:w="2886" w:type="dxa"/>
            <w:tcBorders>
              <w:top w:val="nil"/>
              <w:left w:val="nil"/>
              <w:bottom w:val="nil"/>
              <w:right w:val="nil"/>
            </w:tcBorders>
            <w:shd w:val="clear" w:color="auto" w:fill="auto"/>
            <w:noWrap/>
            <w:vAlign w:val="bottom"/>
            <w:hideMark/>
          </w:tcPr>
          <w:p w14:paraId="41F7975B" w14:textId="77777777" w:rsidR="00ED0E0F" w:rsidRPr="00ED0E0F" w:rsidRDefault="00ED0E0F" w:rsidP="00F16F2C">
            <w:pPr>
              <w:rPr>
                <w:rFonts w:eastAsia="Times New Roman"/>
                <w:color w:val="000000"/>
                <w:u w:val="single"/>
              </w:rPr>
            </w:pPr>
          </w:p>
          <w:p w14:paraId="52764A56" w14:textId="77777777" w:rsidR="00ED0E0F" w:rsidRPr="00ED0E0F" w:rsidRDefault="00ED0E0F" w:rsidP="00F16F2C">
            <w:pPr>
              <w:rPr>
                <w:rFonts w:eastAsia="Times New Roman"/>
                <w:color w:val="000000"/>
              </w:rPr>
            </w:pPr>
          </w:p>
          <w:p w14:paraId="1F0E9BA3" w14:textId="77777777" w:rsidR="00ED0E0F" w:rsidRPr="00ED0E0F" w:rsidRDefault="00ED0E0F" w:rsidP="00F16F2C">
            <w:pPr>
              <w:rPr>
                <w:rFonts w:eastAsia="Times New Roman"/>
                <w:color w:val="000000"/>
                <w:u w:val="single"/>
              </w:rPr>
            </w:pPr>
          </w:p>
          <w:p w14:paraId="0E758041" w14:textId="77777777" w:rsidR="00ED0E0F" w:rsidRPr="00ED0E0F" w:rsidRDefault="00ED0E0F" w:rsidP="00F16F2C">
            <w:pPr>
              <w:rPr>
                <w:rFonts w:eastAsia="Times New Roman"/>
                <w:color w:val="000000"/>
                <w:u w:val="single"/>
              </w:rPr>
            </w:pPr>
          </w:p>
          <w:p w14:paraId="4CC5EE64" w14:textId="77777777" w:rsidR="00ED0E0F" w:rsidRPr="00ED0E0F" w:rsidRDefault="00ED0E0F" w:rsidP="00F16F2C">
            <w:pPr>
              <w:rPr>
                <w:rFonts w:eastAsia="Times New Roman"/>
                <w:color w:val="000000"/>
                <w:u w:val="single"/>
              </w:rPr>
            </w:pPr>
          </w:p>
          <w:p w14:paraId="605755AE" w14:textId="77777777" w:rsidR="00ED0E0F" w:rsidRPr="00ED0E0F" w:rsidRDefault="00ED0E0F" w:rsidP="00F16F2C">
            <w:pPr>
              <w:rPr>
                <w:rFonts w:eastAsia="Times New Roman"/>
                <w:color w:val="000000"/>
                <w:u w:val="single"/>
              </w:rPr>
            </w:pPr>
          </w:p>
          <w:p w14:paraId="117EEEDF" w14:textId="77777777" w:rsidR="00ED0E0F" w:rsidRPr="00ED0E0F" w:rsidRDefault="00ED0E0F" w:rsidP="00F16F2C">
            <w:pPr>
              <w:rPr>
                <w:rFonts w:eastAsia="Times New Roman"/>
                <w:color w:val="000000"/>
                <w:u w:val="single"/>
              </w:rPr>
            </w:pPr>
          </w:p>
          <w:p w14:paraId="4D9EA1C0" w14:textId="77777777" w:rsidR="00ED0E0F" w:rsidRPr="00ED0E0F" w:rsidRDefault="00ED0E0F" w:rsidP="00F16F2C">
            <w:pPr>
              <w:rPr>
                <w:rFonts w:eastAsia="Times New Roman"/>
                <w:color w:val="000000"/>
                <w:u w:val="single"/>
              </w:rPr>
            </w:pPr>
          </w:p>
          <w:p w14:paraId="59B01A31" w14:textId="77777777" w:rsidR="00ED0E0F" w:rsidRPr="00ED0E0F" w:rsidRDefault="00ED0E0F" w:rsidP="00F16F2C">
            <w:pPr>
              <w:rPr>
                <w:rFonts w:eastAsia="Times New Roman"/>
                <w:color w:val="000000"/>
                <w:u w:val="single"/>
              </w:rPr>
            </w:pPr>
          </w:p>
          <w:p w14:paraId="53E9A2AA" w14:textId="77777777" w:rsidR="00ED0E0F" w:rsidRPr="00ED0E0F" w:rsidRDefault="00ED0E0F" w:rsidP="00F16F2C">
            <w:pPr>
              <w:rPr>
                <w:rFonts w:eastAsia="Times New Roman"/>
                <w:color w:val="000000"/>
                <w:u w:val="single"/>
              </w:rPr>
            </w:pPr>
            <w:r w:rsidRPr="00ED0E0F">
              <w:rPr>
                <w:rFonts w:eastAsia="Times New Roman"/>
                <w:color w:val="000000"/>
                <w:u w:val="single"/>
              </w:rPr>
              <w:t>Year Structure Built</w:t>
            </w:r>
          </w:p>
        </w:tc>
        <w:tc>
          <w:tcPr>
            <w:tcW w:w="1662" w:type="dxa"/>
            <w:tcBorders>
              <w:top w:val="nil"/>
              <w:left w:val="nil"/>
              <w:bottom w:val="nil"/>
              <w:right w:val="nil"/>
            </w:tcBorders>
            <w:shd w:val="clear" w:color="auto" w:fill="auto"/>
            <w:noWrap/>
            <w:vAlign w:val="bottom"/>
            <w:hideMark/>
          </w:tcPr>
          <w:p w14:paraId="45123DEE" w14:textId="77777777" w:rsidR="00ED0E0F" w:rsidRPr="00ED0E0F" w:rsidRDefault="00ED0E0F" w:rsidP="00F16F2C">
            <w:pPr>
              <w:rPr>
                <w:rFonts w:eastAsia="Times New Roman"/>
                <w:color w:val="000000"/>
                <w:u w:val="single"/>
              </w:rPr>
            </w:pPr>
          </w:p>
          <w:p w14:paraId="67DEBC0F" w14:textId="77777777" w:rsidR="00ED0E0F" w:rsidRPr="00ED0E0F" w:rsidRDefault="00ED0E0F" w:rsidP="00F16F2C">
            <w:pPr>
              <w:rPr>
                <w:rFonts w:eastAsia="Times New Roman"/>
                <w:b/>
                <w:color w:val="000000"/>
              </w:rPr>
            </w:pPr>
          </w:p>
          <w:p w14:paraId="66E17B2A" w14:textId="77777777" w:rsidR="00ED0E0F" w:rsidRPr="00ED0E0F" w:rsidRDefault="00ED0E0F" w:rsidP="00F16F2C">
            <w:pPr>
              <w:rPr>
                <w:rFonts w:eastAsia="Times New Roman"/>
                <w:b/>
                <w:color w:val="000000"/>
              </w:rPr>
            </w:pPr>
          </w:p>
          <w:p w14:paraId="733EF3CA" w14:textId="77777777" w:rsidR="00ED0E0F" w:rsidRPr="00ED0E0F" w:rsidRDefault="00ED0E0F" w:rsidP="00F16F2C">
            <w:pPr>
              <w:rPr>
                <w:rFonts w:eastAsia="Times New Roman"/>
                <w:b/>
                <w:color w:val="000000"/>
              </w:rPr>
            </w:pPr>
            <w:r w:rsidRPr="00ED0E0F">
              <w:rPr>
                <w:rFonts w:eastAsia="Times New Roman"/>
                <w:b/>
                <w:color w:val="000000"/>
              </w:rPr>
              <w:t xml:space="preserve">Table12 </w:t>
            </w:r>
          </w:p>
          <w:p w14:paraId="511B7E0C" w14:textId="77777777" w:rsidR="00ED0E0F" w:rsidRPr="00ED0E0F" w:rsidRDefault="00ED0E0F" w:rsidP="00F16F2C">
            <w:pPr>
              <w:rPr>
                <w:rFonts w:eastAsia="Times New Roman"/>
                <w:color w:val="000000"/>
                <w:u w:val="single"/>
              </w:rPr>
            </w:pPr>
            <w:r w:rsidRPr="00ED0E0F">
              <w:rPr>
                <w:rFonts w:eastAsia="Times New Roman"/>
                <w:b/>
                <w:color w:val="000000"/>
              </w:rPr>
              <w:t>Age of Housing Stock</w:t>
            </w:r>
          </w:p>
          <w:p w14:paraId="26BF8154" w14:textId="77777777" w:rsidR="00ED0E0F" w:rsidRPr="00ED0E0F" w:rsidRDefault="00ED0E0F" w:rsidP="00F16F2C">
            <w:pPr>
              <w:rPr>
                <w:rFonts w:eastAsia="Times New Roman"/>
                <w:color w:val="000000"/>
                <w:u w:val="single"/>
              </w:rPr>
            </w:pPr>
          </w:p>
          <w:p w14:paraId="1BD14DBB" w14:textId="77777777" w:rsidR="00ED0E0F" w:rsidRPr="00ED0E0F" w:rsidRDefault="00ED0E0F" w:rsidP="00F16F2C">
            <w:pPr>
              <w:rPr>
                <w:rFonts w:eastAsia="Times New Roman"/>
                <w:color w:val="000000"/>
                <w:u w:val="single"/>
              </w:rPr>
            </w:pPr>
          </w:p>
          <w:p w14:paraId="479FCD15" w14:textId="77777777" w:rsidR="00ED0E0F" w:rsidRPr="00ED0E0F" w:rsidRDefault="00ED0E0F" w:rsidP="00F16F2C">
            <w:pPr>
              <w:rPr>
                <w:rFonts w:eastAsia="Times New Roman"/>
                <w:color w:val="000000"/>
                <w:u w:val="single"/>
              </w:rPr>
            </w:pPr>
            <w:r w:rsidRPr="00ED0E0F">
              <w:rPr>
                <w:rFonts w:eastAsia="Times New Roman"/>
                <w:color w:val="000000"/>
                <w:u w:val="single"/>
              </w:rPr>
              <w:t>Morris</w:t>
            </w:r>
          </w:p>
        </w:tc>
        <w:tc>
          <w:tcPr>
            <w:tcW w:w="1662" w:type="dxa"/>
            <w:tcBorders>
              <w:top w:val="nil"/>
              <w:left w:val="nil"/>
              <w:bottom w:val="nil"/>
              <w:right w:val="nil"/>
            </w:tcBorders>
            <w:shd w:val="clear" w:color="auto" w:fill="auto"/>
            <w:noWrap/>
            <w:vAlign w:val="bottom"/>
            <w:hideMark/>
          </w:tcPr>
          <w:p w14:paraId="588B89C6" w14:textId="77777777" w:rsidR="00ED0E0F" w:rsidRPr="00ED0E0F" w:rsidRDefault="00ED0E0F" w:rsidP="00F16F2C">
            <w:pPr>
              <w:rPr>
                <w:rFonts w:eastAsia="Times New Roman"/>
                <w:color w:val="000000"/>
                <w:u w:val="single"/>
              </w:rPr>
            </w:pPr>
          </w:p>
          <w:p w14:paraId="7C316763" w14:textId="77777777" w:rsidR="00ED0E0F" w:rsidRPr="00ED0E0F" w:rsidRDefault="00ED0E0F" w:rsidP="00F16F2C">
            <w:pPr>
              <w:rPr>
                <w:rFonts w:eastAsia="Times New Roman"/>
                <w:color w:val="000000"/>
                <w:u w:val="single"/>
              </w:rPr>
            </w:pPr>
          </w:p>
          <w:p w14:paraId="0E5847D7" w14:textId="77777777" w:rsidR="00ED0E0F" w:rsidRPr="00ED0E0F" w:rsidRDefault="00ED0E0F" w:rsidP="00F16F2C">
            <w:pPr>
              <w:rPr>
                <w:rFonts w:eastAsia="Times New Roman"/>
                <w:color w:val="000000"/>
                <w:u w:val="single"/>
              </w:rPr>
            </w:pPr>
          </w:p>
          <w:p w14:paraId="6BC8B4C8" w14:textId="77777777" w:rsidR="00ED0E0F" w:rsidRPr="00ED0E0F" w:rsidRDefault="00ED0E0F" w:rsidP="00F16F2C">
            <w:pPr>
              <w:rPr>
                <w:rFonts w:eastAsia="Times New Roman"/>
                <w:color w:val="000000"/>
                <w:u w:val="single"/>
              </w:rPr>
            </w:pPr>
          </w:p>
          <w:p w14:paraId="0DCC46E8" w14:textId="77777777" w:rsidR="00ED0E0F" w:rsidRPr="00ED0E0F" w:rsidRDefault="00ED0E0F" w:rsidP="00F16F2C">
            <w:pPr>
              <w:rPr>
                <w:rFonts w:eastAsia="Times New Roman"/>
                <w:color w:val="000000"/>
                <w:u w:val="single"/>
              </w:rPr>
            </w:pPr>
          </w:p>
          <w:p w14:paraId="70C8FBA2" w14:textId="77777777" w:rsidR="00ED0E0F" w:rsidRPr="00ED0E0F" w:rsidRDefault="00ED0E0F" w:rsidP="00F16F2C">
            <w:pPr>
              <w:rPr>
                <w:rFonts w:eastAsia="Times New Roman"/>
                <w:color w:val="000000"/>
                <w:u w:val="single"/>
              </w:rPr>
            </w:pPr>
          </w:p>
          <w:p w14:paraId="696A6F62" w14:textId="77777777" w:rsidR="00ED0E0F" w:rsidRPr="00ED0E0F" w:rsidRDefault="00ED0E0F" w:rsidP="00F16F2C">
            <w:pPr>
              <w:rPr>
                <w:rFonts w:eastAsia="Times New Roman"/>
                <w:color w:val="000000"/>
                <w:u w:val="single"/>
              </w:rPr>
            </w:pPr>
          </w:p>
          <w:p w14:paraId="333FF46B" w14:textId="77777777" w:rsidR="00ED0E0F" w:rsidRPr="00ED0E0F" w:rsidRDefault="00ED0E0F" w:rsidP="00F16F2C">
            <w:pPr>
              <w:rPr>
                <w:rFonts w:eastAsia="Times New Roman"/>
                <w:color w:val="000000"/>
                <w:u w:val="single"/>
              </w:rPr>
            </w:pPr>
          </w:p>
          <w:p w14:paraId="37908357" w14:textId="77777777" w:rsidR="00ED0E0F" w:rsidRPr="00ED0E0F" w:rsidRDefault="00ED0E0F" w:rsidP="00F16F2C">
            <w:pPr>
              <w:rPr>
                <w:rFonts w:eastAsia="Times New Roman"/>
                <w:color w:val="000000"/>
                <w:u w:val="single"/>
              </w:rPr>
            </w:pPr>
          </w:p>
          <w:p w14:paraId="3E0B6B9C" w14:textId="77777777" w:rsidR="00ED0E0F" w:rsidRPr="00ED0E0F" w:rsidRDefault="00ED0E0F" w:rsidP="00F16F2C">
            <w:pPr>
              <w:rPr>
                <w:rFonts w:eastAsia="Times New Roman"/>
                <w:color w:val="000000"/>
                <w:u w:val="single"/>
              </w:rPr>
            </w:pPr>
            <w:r w:rsidRPr="00ED0E0F">
              <w:rPr>
                <w:rFonts w:eastAsia="Times New Roman"/>
                <w:color w:val="000000"/>
                <w:u w:val="single"/>
              </w:rPr>
              <w:t>Stevens Co.</w:t>
            </w:r>
          </w:p>
        </w:tc>
      </w:tr>
      <w:tr w:rsidR="00ED0E0F" w:rsidRPr="00ED0E0F" w14:paraId="684C4911" w14:textId="77777777" w:rsidTr="00F16F2C">
        <w:trPr>
          <w:trHeight w:val="328"/>
        </w:trPr>
        <w:tc>
          <w:tcPr>
            <w:tcW w:w="2886" w:type="dxa"/>
            <w:tcBorders>
              <w:top w:val="nil"/>
              <w:left w:val="nil"/>
              <w:bottom w:val="nil"/>
              <w:right w:val="nil"/>
            </w:tcBorders>
            <w:shd w:val="clear" w:color="auto" w:fill="auto"/>
            <w:noWrap/>
            <w:vAlign w:val="bottom"/>
            <w:hideMark/>
          </w:tcPr>
          <w:p w14:paraId="50D5F408"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 xml:space="preserve"> 2005 or later</w:t>
            </w:r>
          </w:p>
        </w:tc>
        <w:tc>
          <w:tcPr>
            <w:tcW w:w="1662" w:type="dxa"/>
            <w:tcBorders>
              <w:top w:val="nil"/>
              <w:left w:val="nil"/>
              <w:bottom w:val="nil"/>
              <w:right w:val="nil"/>
            </w:tcBorders>
            <w:shd w:val="clear" w:color="auto" w:fill="auto"/>
            <w:noWrap/>
            <w:vAlign w:val="bottom"/>
            <w:hideMark/>
          </w:tcPr>
          <w:p w14:paraId="3AFFA7AE"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22</w:t>
            </w:r>
          </w:p>
        </w:tc>
        <w:tc>
          <w:tcPr>
            <w:tcW w:w="1662" w:type="dxa"/>
            <w:tcBorders>
              <w:top w:val="nil"/>
              <w:left w:val="nil"/>
              <w:bottom w:val="nil"/>
              <w:right w:val="nil"/>
            </w:tcBorders>
            <w:shd w:val="clear" w:color="auto" w:fill="auto"/>
            <w:noWrap/>
            <w:vAlign w:val="bottom"/>
            <w:hideMark/>
          </w:tcPr>
          <w:p w14:paraId="7CD090B4"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103</w:t>
            </w:r>
          </w:p>
        </w:tc>
      </w:tr>
      <w:tr w:rsidR="00ED0E0F" w:rsidRPr="00ED0E0F" w14:paraId="08D2A836" w14:textId="77777777" w:rsidTr="00F16F2C">
        <w:trPr>
          <w:trHeight w:val="328"/>
        </w:trPr>
        <w:tc>
          <w:tcPr>
            <w:tcW w:w="2886" w:type="dxa"/>
            <w:tcBorders>
              <w:top w:val="nil"/>
              <w:left w:val="nil"/>
              <w:bottom w:val="nil"/>
              <w:right w:val="nil"/>
            </w:tcBorders>
            <w:shd w:val="clear" w:color="auto" w:fill="auto"/>
            <w:noWrap/>
            <w:vAlign w:val="bottom"/>
            <w:hideMark/>
          </w:tcPr>
          <w:p w14:paraId="519BFECC"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 xml:space="preserve"> 2000 to 2004</w:t>
            </w:r>
          </w:p>
        </w:tc>
        <w:tc>
          <w:tcPr>
            <w:tcW w:w="1662" w:type="dxa"/>
            <w:tcBorders>
              <w:top w:val="nil"/>
              <w:left w:val="nil"/>
              <w:bottom w:val="nil"/>
              <w:right w:val="nil"/>
            </w:tcBorders>
            <w:shd w:val="clear" w:color="auto" w:fill="auto"/>
            <w:noWrap/>
            <w:vAlign w:val="bottom"/>
            <w:hideMark/>
          </w:tcPr>
          <w:p w14:paraId="688AA7FB"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66</w:t>
            </w:r>
          </w:p>
        </w:tc>
        <w:tc>
          <w:tcPr>
            <w:tcW w:w="1662" w:type="dxa"/>
            <w:tcBorders>
              <w:top w:val="nil"/>
              <w:left w:val="nil"/>
              <w:bottom w:val="nil"/>
              <w:right w:val="nil"/>
            </w:tcBorders>
            <w:shd w:val="clear" w:color="auto" w:fill="auto"/>
            <w:noWrap/>
            <w:vAlign w:val="bottom"/>
            <w:hideMark/>
          </w:tcPr>
          <w:p w14:paraId="2A5B3A27"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156</w:t>
            </w:r>
          </w:p>
        </w:tc>
      </w:tr>
      <w:tr w:rsidR="00ED0E0F" w:rsidRPr="00ED0E0F" w14:paraId="376B046F" w14:textId="77777777" w:rsidTr="00F16F2C">
        <w:trPr>
          <w:trHeight w:val="328"/>
        </w:trPr>
        <w:tc>
          <w:tcPr>
            <w:tcW w:w="2886" w:type="dxa"/>
            <w:tcBorders>
              <w:top w:val="nil"/>
              <w:left w:val="nil"/>
              <w:bottom w:val="nil"/>
              <w:right w:val="nil"/>
            </w:tcBorders>
            <w:shd w:val="clear" w:color="auto" w:fill="auto"/>
            <w:noWrap/>
            <w:vAlign w:val="bottom"/>
            <w:hideMark/>
          </w:tcPr>
          <w:p w14:paraId="148BE262"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 xml:space="preserve"> 1990 to 1999</w:t>
            </w:r>
          </w:p>
        </w:tc>
        <w:tc>
          <w:tcPr>
            <w:tcW w:w="1662" w:type="dxa"/>
            <w:tcBorders>
              <w:top w:val="nil"/>
              <w:left w:val="nil"/>
              <w:bottom w:val="nil"/>
              <w:right w:val="nil"/>
            </w:tcBorders>
            <w:shd w:val="clear" w:color="auto" w:fill="auto"/>
            <w:noWrap/>
            <w:vAlign w:val="bottom"/>
            <w:hideMark/>
          </w:tcPr>
          <w:p w14:paraId="55787702"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227</w:t>
            </w:r>
          </w:p>
        </w:tc>
        <w:tc>
          <w:tcPr>
            <w:tcW w:w="1662" w:type="dxa"/>
            <w:tcBorders>
              <w:top w:val="nil"/>
              <w:left w:val="nil"/>
              <w:bottom w:val="nil"/>
              <w:right w:val="nil"/>
            </w:tcBorders>
            <w:shd w:val="clear" w:color="auto" w:fill="auto"/>
            <w:noWrap/>
            <w:vAlign w:val="bottom"/>
            <w:hideMark/>
          </w:tcPr>
          <w:p w14:paraId="097A646B"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445</w:t>
            </w:r>
          </w:p>
        </w:tc>
      </w:tr>
      <w:tr w:rsidR="00ED0E0F" w:rsidRPr="00ED0E0F" w14:paraId="640AB2B0" w14:textId="77777777" w:rsidTr="00F16F2C">
        <w:trPr>
          <w:trHeight w:val="328"/>
        </w:trPr>
        <w:tc>
          <w:tcPr>
            <w:tcW w:w="2886" w:type="dxa"/>
            <w:tcBorders>
              <w:top w:val="nil"/>
              <w:left w:val="nil"/>
              <w:bottom w:val="nil"/>
              <w:right w:val="nil"/>
            </w:tcBorders>
            <w:shd w:val="clear" w:color="auto" w:fill="auto"/>
            <w:noWrap/>
            <w:vAlign w:val="bottom"/>
            <w:hideMark/>
          </w:tcPr>
          <w:p w14:paraId="1F95EC92"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1980 to 1989</w:t>
            </w:r>
          </w:p>
        </w:tc>
        <w:tc>
          <w:tcPr>
            <w:tcW w:w="1662" w:type="dxa"/>
            <w:tcBorders>
              <w:top w:val="nil"/>
              <w:left w:val="nil"/>
              <w:bottom w:val="nil"/>
              <w:right w:val="nil"/>
            </w:tcBorders>
            <w:shd w:val="clear" w:color="auto" w:fill="auto"/>
            <w:noWrap/>
            <w:vAlign w:val="bottom"/>
            <w:hideMark/>
          </w:tcPr>
          <w:p w14:paraId="55A15323"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255</w:t>
            </w:r>
          </w:p>
        </w:tc>
        <w:tc>
          <w:tcPr>
            <w:tcW w:w="1662" w:type="dxa"/>
            <w:tcBorders>
              <w:top w:val="nil"/>
              <w:left w:val="nil"/>
              <w:bottom w:val="nil"/>
              <w:right w:val="nil"/>
            </w:tcBorders>
            <w:shd w:val="clear" w:color="auto" w:fill="auto"/>
            <w:noWrap/>
            <w:vAlign w:val="bottom"/>
            <w:hideMark/>
          </w:tcPr>
          <w:p w14:paraId="28FF451A"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411</w:t>
            </w:r>
          </w:p>
        </w:tc>
      </w:tr>
      <w:tr w:rsidR="00ED0E0F" w:rsidRPr="00ED0E0F" w14:paraId="72696A8A" w14:textId="77777777" w:rsidTr="00F16F2C">
        <w:trPr>
          <w:trHeight w:val="328"/>
        </w:trPr>
        <w:tc>
          <w:tcPr>
            <w:tcW w:w="2886" w:type="dxa"/>
            <w:tcBorders>
              <w:top w:val="nil"/>
              <w:left w:val="nil"/>
              <w:bottom w:val="nil"/>
              <w:right w:val="nil"/>
            </w:tcBorders>
            <w:shd w:val="clear" w:color="auto" w:fill="auto"/>
            <w:noWrap/>
            <w:vAlign w:val="bottom"/>
            <w:hideMark/>
          </w:tcPr>
          <w:p w14:paraId="0975E547"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1970 to 1979</w:t>
            </w:r>
          </w:p>
        </w:tc>
        <w:tc>
          <w:tcPr>
            <w:tcW w:w="1662" w:type="dxa"/>
            <w:tcBorders>
              <w:top w:val="nil"/>
              <w:left w:val="nil"/>
              <w:bottom w:val="nil"/>
              <w:right w:val="nil"/>
            </w:tcBorders>
            <w:shd w:val="clear" w:color="auto" w:fill="auto"/>
            <w:noWrap/>
            <w:vAlign w:val="bottom"/>
            <w:hideMark/>
          </w:tcPr>
          <w:p w14:paraId="0AE99862"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196</w:t>
            </w:r>
          </w:p>
        </w:tc>
        <w:tc>
          <w:tcPr>
            <w:tcW w:w="1662" w:type="dxa"/>
            <w:tcBorders>
              <w:top w:val="nil"/>
              <w:left w:val="nil"/>
              <w:bottom w:val="nil"/>
              <w:right w:val="nil"/>
            </w:tcBorders>
            <w:shd w:val="clear" w:color="auto" w:fill="auto"/>
            <w:noWrap/>
            <w:vAlign w:val="bottom"/>
            <w:hideMark/>
          </w:tcPr>
          <w:p w14:paraId="3E8794EF"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459</w:t>
            </w:r>
          </w:p>
        </w:tc>
      </w:tr>
      <w:tr w:rsidR="00ED0E0F" w:rsidRPr="00ED0E0F" w14:paraId="0FE63216" w14:textId="77777777" w:rsidTr="00F16F2C">
        <w:trPr>
          <w:trHeight w:val="328"/>
        </w:trPr>
        <w:tc>
          <w:tcPr>
            <w:tcW w:w="2886" w:type="dxa"/>
            <w:tcBorders>
              <w:top w:val="nil"/>
              <w:left w:val="nil"/>
              <w:bottom w:val="nil"/>
              <w:right w:val="nil"/>
            </w:tcBorders>
            <w:shd w:val="clear" w:color="auto" w:fill="auto"/>
            <w:noWrap/>
            <w:vAlign w:val="bottom"/>
            <w:hideMark/>
          </w:tcPr>
          <w:p w14:paraId="5129288B"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1960 to 1969</w:t>
            </w:r>
          </w:p>
        </w:tc>
        <w:tc>
          <w:tcPr>
            <w:tcW w:w="1662" w:type="dxa"/>
            <w:tcBorders>
              <w:top w:val="nil"/>
              <w:left w:val="nil"/>
              <w:bottom w:val="nil"/>
              <w:right w:val="nil"/>
            </w:tcBorders>
            <w:shd w:val="clear" w:color="auto" w:fill="auto"/>
            <w:noWrap/>
            <w:vAlign w:val="bottom"/>
            <w:hideMark/>
          </w:tcPr>
          <w:p w14:paraId="33053271"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293</w:t>
            </w:r>
          </w:p>
        </w:tc>
        <w:tc>
          <w:tcPr>
            <w:tcW w:w="1662" w:type="dxa"/>
            <w:tcBorders>
              <w:top w:val="nil"/>
              <w:left w:val="nil"/>
              <w:bottom w:val="nil"/>
              <w:right w:val="nil"/>
            </w:tcBorders>
            <w:shd w:val="clear" w:color="auto" w:fill="auto"/>
            <w:noWrap/>
            <w:vAlign w:val="bottom"/>
            <w:hideMark/>
          </w:tcPr>
          <w:p w14:paraId="696CD9A3"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527</w:t>
            </w:r>
          </w:p>
        </w:tc>
      </w:tr>
      <w:tr w:rsidR="00ED0E0F" w:rsidRPr="00ED0E0F" w14:paraId="25F22E9D" w14:textId="77777777" w:rsidTr="00F16F2C">
        <w:trPr>
          <w:trHeight w:val="328"/>
        </w:trPr>
        <w:tc>
          <w:tcPr>
            <w:tcW w:w="2886" w:type="dxa"/>
            <w:tcBorders>
              <w:top w:val="nil"/>
              <w:left w:val="nil"/>
              <w:bottom w:val="nil"/>
              <w:right w:val="nil"/>
            </w:tcBorders>
            <w:shd w:val="clear" w:color="auto" w:fill="auto"/>
            <w:noWrap/>
            <w:vAlign w:val="bottom"/>
            <w:hideMark/>
          </w:tcPr>
          <w:p w14:paraId="0D1C30BD"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 xml:space="preserve"> 1950 to 1959</w:t>
            </w:r>
          </w:p>
        </w:tc>
        <w:tc>
          <w:tcPr>
            <w:tcW w:w="1662" w:type="dxa"/>
            <w:tcBorders>
              <w:top w:val="nil"/>
              <w:left w:val="nil"/>
              <w:bottom w:val="nil"/>
              <w:right w:val="nil"/>
            </w:tcBorders>
            <w:shd w:val="clear" w:color="auto" w:fill="auto"/>
            <w:noWrap/>
            <w:vAlign w:val="bottom"/>
            <w:hideMark/>
          </w:tcPr>
          <w:p w14:paraId="0D8685B9"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358</w:t>
            </w:r>
          </w:p>
        </w:tc>
        <w:tc>
          <w:tcPr>
            <w:tcW w:w="1662" w:type="dxa"/>
            <w:tcBorders>
              <w:top w:val="nil"/>
              <w:left w:val="nil"/>
              <w:bottom w:val="nil"/>
              <w:right w:val="nil"/>
            </w:tcBorders>
            <w:shd w:val="clear" w:color="auto" w:fill="auto"/>
            <w:noWrap/>
            <w:vAlign w:val="bottom"/>
            <w:hideMark/>
          </w:tcPr>
          <w:p w14:paraId="7CC4D37C"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510</w:t>
            </w:r>
          </w:p>
        </w:tc>
      </w:tr>
      <w:tr w:rsidR="00ED0E0F" w:rsidRPr="00ED0E0F" w14:paraId="064871FF" w14:textId="77777777" w:rsidTr="00F16F2C">
        <w:trPr>
          <w:trHeight w:val="328"/>
        </w:trPr>
        <w:tc>
          <w:tcPr>
            <w:tcW w:w="2886" w:type="dxa"/>
            <w:tcBorders>
              <w:top w:val="nil"/>
              <w:left w:val="nil"/>
              <w:bottom w:val="nil"/>
              <w:right w:val="nil"/>
            </w:tcBorders>
            <w:shd w:val="clear" w:color="auto" w:fill="auto"/>
            <w:noWrap/>
            <w:vAlign w:val="bottom"/>
            <w:hideMark/>
          </w:tcPr>
          <w:p w14:paraId="56F30C88"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1940 to 1949</w:t>
            </w:r>
          </w:p>
        </w:tc>
        <w:tc>
          <w:tcPr>
            <w:tcW w:w="1662" w:type="dxa"/>
            <w:tcBorders>
              <w:top w:val="nil"/>
              <w:left w:val="nil"/>
              <w:bottom w:val="nil"/>
              <w:right w:val="nil"/>
            </w:tcBorders>
            <w:shd w:val="clear" w:color="auto" w:fill="auto"/>
            <w:noWrap/>
            <w:vAlign w:val="bottom"/>
            <w:hideMark/>
          </w:tcPr>
          <w:p w14:paraId="4534B2E5"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200</w:t>
            </w:r>
          </w:p>
        </w:tc>
        <w:tc>
          <w:tcPr>
            <w:tcW w:w="1662" w:type="dxa"/>
            <w:tcBorders>
              <w:top w:val="nil"/>
              <w:left w:val="nil"/>
              <w:bottom w:val="nil"/>
              <w:right w:val="nil"/>
            </w:tcBorders>
            <w:shd w:val="clear" w:color="auto" w:fill="auto"/>
            <w:noWrap/>
            <w:vAlign w:val="bottom"/>
            <w:hideMark/>
          </w:tcPr>
          <w:p w14:paraId="11BFCDD7"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359</w:t>
            </w:r>
          </w:p>
        </w:tc>
      </w:tr>
      <w:tr w:rsidR="00ED0E0F" w:rsidRPr="00ED0E0F" w14:paraId="597CF664" w14:textId="77777777" w:rsidTr="00F16F2C">
        <w:trPr>
          <w:trHeight w:val="328"/>
        </w:trPr>
        <w:tc>
          <w:tcPr>
            <w:tcW w:w="2886" w:type="dxa"/>
            <w:tcBorders>
              <w:top w:val="nil"/>
              <w:left w:val="nil"/>
              <w:bottom w:val="nil"/>
              <w:right w:val="nil"/>
            </w:tcBorders>
            <w:shd w:val="clear" w:color="auto" w:fill="auto"/>
            <w:noWrap/>
            <w:vAlign w:val="bottom"/>
            <w:hideMark/>
          </w:tcPr>
          <w:p w14:paraId="244A02A7"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 xml:space="preserve"> 1939 or earlier</w:t>
            </w:r>
          </w:p>
        </w:tc>
        <w:tc>
          <w:tcPr>
            <w:tcW w:w="1662" w:type="dxa"/>
            <w:tcBorders>
              <w:top w:val="nil"/>
              <w:left w:val="nil"/>
              <w:bottom w:val="nil"/>
              <w:right w:val="nil"/>
            </w:tcBorders>
            <w:shd w:val="clear" w:color="auto" w:fill="auto"/>
            <w:noWrap/>
            <w:vAlign w:val="bottom"/>
            <w:hideMark/>
          </w:tcPr>
          <w:p w14:paraId="4654914A" w14:textId="77777777" w:rsidR="00ED0E0F" w:rsidRPr="00ED0E0F" w:rsidRDefault="00ED0E0F" w:rsidP="00F16F2C">
            <w:pPr>
              <w:rPr>
                <w:rFonts w:eastAsia="Times New Roman"/>
                <w:color w:val="000000"/>
                <w:sz w:val="22"/>
                <w:szCs w:val="22"/>
              </w:rPr>
            </w:pPr>
            <w:r w:rsidRPr="00ED0E0F">
              <w:rPr>
                <w:rFonts w:eastAsia="Times New Roman"/>
                <w:color w:val="000000"/>
                <w:sz w:val="22"/>
                <w:szCs w:val="22"/>
              </w:rPr>
              <w:t>485</w:t>
            </w:r>
          </w:p>
        </w:tc>
        <w:tc>
          <w:tcPr>
            <w:tcW w:w="1662" w:type="dxa"/>
            <w:tcBorders>
              <w:top w:val="nil"/>
              <w:left w:val="nil"/>
              <w:bottom w:val="nil"/>
              <w:right w:val="nil"/>
            </w:tcBorders>
            <w:shd w:val="clear" w:color="auto" w:fill="auto"/>
            <w:noWrap/>
            <w:vAlign w:val="bottom"/>
            <w:hideMark/>
          </w:tcPr>
          <w:p w14:paraId="3556AECE"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1,175</w:t>
            </w:r>
          </w:p>
        </w:tc>
      </w:tr>
      <w:tr w:rsidR="00ED0E0F" w:rsidRPr="00ED0E0F" w14:paraId="02316BF2" w14:textId="77777777" w:rsidTr="00F16F2C">
        <w:trPr>
          <w:trHeight w:val="328"/>
        </w:trPr>
        <w:tc>
          <w:tcPr>
            <w:tcW w:w="2886" w:type="dxa"/>
            <w:tcBorders>
              <w:top w:val="nil"/>
              <w:left w:val="nil"/>
              <w:bottom w:val="nil"/>
              <w:right w:val="nil"/>
            </w:tcBorders>
            <w:shd w:val="clear" w:color="auto" w:fill="auto"/>
            <w:noWrap/>
            <w:vAlign w:val="bottom"/>
            <w:hideMark/>
          </w:tcPr>
          <w:p w14:paraId="2A054733"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Total</w:t>
            </w:r>
          </w:p>
        </w:tc>
        <w:tc>
          <w:tcPr>
            <w:tcW w:w="1662" w:type="dxa"/>
            <w:tcBorders>
              <w:top w:val="nil"/>
              <w:left w:val="nil"/>
              <w:bottom w:val="nil"/>
              <w:right w:val="nil"/>
            </w:tcBorders>
            <w:shd w:val="clear" w:color="auto" w:fill="auto"/>
            <w:noWrap/>
            <w:vAlign w:val="bottom"/>
            <w:hideMark/>
          </w:tcPr>
          <w:p w14:paraId="27894672"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2,102</w:t>
            </w:r>
          </w:p>
        </w:tc>
        <w:tc>
          <w:tcPr>
            <w:tcW w:w="1662" w:type="dxa"/>
            <w:tcBorders>
              <w:top w:val="nil"/>
              <w:left w:val="nil"/>
              <w:bottom w:val="nil"/>
              <w:right w:val="nil"/>
            </w:tcBorders>
            <w:shd w:val="clear" w:color="auto" w:fill="auto"/>
            <w:noWrap/>
            <w:vAlign w:val="bottom"/>
            <w:hideMark/>
          </w:tcPr>
          <w:p w14:paraId="586051DD" w14:textId="77777777" w:rsidR="00ED0E0F" w:rsidRPr="00ED0E0F" w:rsidRDefault="00ED0E0F" w:rsidP="00F16F2C">
            <w:pPr>
              <w:rPr>
                <w:rFonts w:eastAsia="Times New Roman"/>
                <w:color w:val="222222"/>
                <w:sz w:val="22"/>
                <w:szCs w:val="22"/>
              </w:rPr>
            </w:pPr>
            <w:r w:rsidRPr="00ED0E0F">
              <w:rPr>
                <w:rFonts w:eastAsia="Times New Roman"/>
                <w:color w:val="222222"/>
                <w:sz w:val="22"/>
                <w:szCs w:val="22"/>
              </w:rPr>
              <w:t>4,145</w:t>
            </w:r>
          </w:p>
        </w:tc>
      </w:tr>
    </w:tbl>
    <w:p w14:paraId="3D06E287" w14:textId="77777777" w:rsidR="00ED0E0F" w:rsidRPr="00ED0E0F" w:rsidRDefault="00ED0E0F" w:rsidP="00ED0E0F"/>
    <w:p w14:paraId="4C2D370D" w14:textId="0E089237" w:rsidR="00ED0E0F" w:rsidRPr="00ED0E0F" w:rsidRDefault="00ED0E0F" w:rsidP="00ED0E0F">
      <w:r w:rsidRPr="00ED0E0F">
        <w:t>Morris has approxim</w:t>
      </w:r>
      <w:r>
        <w:t xml:space="preserve">ately 50% of the housing stock </w:t>
      </w:r>
      <w:bookmarkStart w:id="0" w:name="_GoBack"/>
      <w:bookmarkEnd w:id="0"/>
      <w:r w:rsidRPr="00ED0E0F">
        <w:t xml:space="preserve">of Stevens County.  Within the city, the largest share of homes, 23.1%, were built in 1939 or earlier. </w:t>
      </w:r>
    </w:p>
    <w:p w14:paraId="78B7171D" w14:textId="77777777" w:rsidR="00ED0E0F" w:rsidRPr="00ED0E0F" w:rsidRDefault="00ED0E0F" w:rsidP="00D4428E"/>
    <w:p w14:paraId="2B58949B" w14:textId="77777777" w:rsidR="00D4428E" w:rsidRPr="00ED0E0F" w:rsidRDefault="00D4428E" w:rsidP="00D4428E"/>
    <w:p w14:paraId="0049D827" w14:textId="77777777" w:rsidR="00D4428E" w:rsidRPr="00ED0E0F" w:rsidRDefault="00D4428E" w:rsidP="00D4428E"/>
    <w:p w14:paraId="2BF5FB7A" w14:textId="77777777" w:rsidR="00D4428E" w:rsidRPr="00ED0E0F" w:rsidRDefault="00D4428E" w:rsidP="00D4428E"/>
    <w:p w14:paraId="16BD50B7" w14:textId="77777777" w:rsidR="00D4428E" w:rsidRPr="00ED0E0F" w:rsidRDefault="00D4428E" w:rsidP="00D4428E"/>
    <w:sectPr w:rsidR="00D4428E" w:rsidRPr="00ED0E0F" w:rsidSect="00D72E05">
      <w:headerReference w:type="even" r:id="rId25"/>
      <w:head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DCB3E" w14:textId="77777777" w:rsidR="00766441" w:rsidRDefault="00484395">
      <w:r>
        <w:separator/>
      </w:r>
    </w:p>
  </w:endnote>
  <w:endnote w:type="continuationSeparator" w:id="0">
    <w:p w14:paraId="2D84F621" w14:textId="77777777" w:rsidR="00766441" w:rsidRDefault="0048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98760" w14:textId="77777777" w:rsidR="00766441" w:rsidRDefault="00484395">
      <w:r>
        <w:separator/>
      </w:r>
    </w:p>
  </w:footnote>
  <w:footnote w:type="continuationSeparator" w:id="0">
    <w:p w14:paraId="167FBB55" w14:textId="77777777" w:rsidR="00766441" w:rsidRDefault="004843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8F812" w14:textId="77777777" w:rsidR="000700B3" w:rsidRDefault="00D4428E" w:rsidP="003E4D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17D45" w14:textId="77777777" w:rsidR="000700B3" w:rsidRDefault="004F1875" w:rsidP="003E4D45">
    <w:pPr>
      <w:pStyle w:val="Header"/>
      <w:ind w:right="360"/>
    </w:pPr>
    <w:sdt>
      <w:sdtPr>
        <w:id w:val="171999623"/>
        <w:temporary/>
        <w:showingPlcHdr/>
      </w:sdtPr>
      <w:sdtEndPr/>
      <w:sdtContent>
        <w:r w:rsidR="00D4428E">
          <w:t>[Type text]</w:t>
        </w:r>
      </w:sdtContent>
    </w:sdt>
    <w:r w:rsidR="00D4428E">
      <w:ptab w:relativeTo="margin" w:alignment="center" w:leader="none"/>
    </w:r>
    <w:sdt>
      <w:sdtPr>
        <w:id w:val="171999624"/>
        <w:temporary/>
        <w:showingPlcHdr/>
      </w:sdtPr>
      <w:sdtEndPr/>
      <w:sdtContent>
        <w:r w:rsidR="00D4428E">
          <w:t>[Type text]</w:t>
        </w:r>
      </w:sdtContent>
    </w:sdt>
    <w:r w:rsidR="00D4428E">
      <w:ptab w:relativeTo="margin" w:alignment="right" w:leader="none"/>
    </w:r>
    <w:sdt>
      <w:sdtPr>
        <w:id w:val="171999625"/>
        <w:temporary/>
        <w:showingPlcHdr/>
      </w:sdtPr>
      <w:sdtEndPr/>
      <w:sdtContent>
        <w:r w:rsidR="00D4428E">
          <w:t>[Type text]</w:t>
        </w:r>
      </w:sdtContent>
    </w:sdt>
  </w:p>
  <w:p w14:paraId="795F726A" w14:textId="77777777" w:rsidR="000700B3" w:rsidRDefault="004F18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8AFBB" w14:textId="77777777" w:rsidR="000700B3" w:rsidRDefault="00D4428E" w:rsidP="003E4D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D9B">
      <w:rPr>
        <w:rStyle w:val="PageNumber"/>
        <w:noProof/>
      </w:rPr>
      <w:t>30</w:t>
    </w:r>
    <w:r>
      <w:rPr>
        <w:rStyle w:val="PageNumber"/>
      </w:rPr>
      <w:fldChar w:fldCharType="end"/>
    </w:r>
  </w:p>
  <w:p w14:paraId="556A4225" w14:textId="77777777" w:rsidR="000700B3" w:rsidRDefault="00D4428E" w:rsidP="003E4D45">
    <w:pPr>
      <w:pStyle w:val="Header"/>
      <w:ind w:right="360"/>
    </w:pPr>
    <w:r>
      <w:t>UMM Data Services Center</w:t>
    </w:r>
  </w:p>
  <w:p w14:paraId="68785B88" w14:textId="77777777" w:rsidR="000700B3" w:rsidRDefault="00D4428E" w:rsidP="003E4D45">
    <w:pPr>
      <w:pStyle w:val="Header"/>
      <w:ind w:right="360"/>
    </w:pPr>
    <w:proofErr w:type="spellStart"/>
    <w:r>
      <w:t>Gwendorlene</w:t>
    </w:r>
    <w:proofErr w:type="spellEnd"/>
    <w:r>
      <w:t xml:space="preserve"> </w:t>
    </w:r>
    <w:proofErr w:type="spellStart"/>
    <w:r>
      <w:t>Chea</w:t>
    </w:r>
    <w:proofErr w:type="spellEnd"/>
    <w:r>
      <w:ptab w:relativeTo="margin" w:alignment="center" w:leader="none"/>
    </w:r>
    <w:r>
      <w:ptab w:relativeTo="margin" w:alignment="right" w:leader="none"/>
    </w:r>
  </w:p>
  <w:p w14:paraId="6C5C654B" w14:textId="77777777" w:rsidR="000700B3" w:rsidRDefault="004F18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E09B1"/>
    <w:multiLevelType w:val="hybridMultilevel"/>
    <w:tmpl w:val="FD78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8E"/>
    <w:rsid w:val="00282A3C"/>
    <w:rsid w:val="00484395"/>
    <w:rsid w:val="00684D9B"/>
    <w:rsid w:val="00766441"/>
    <w:rsid w:val="007B784C"/>
    <w:rsid w:val="00983A99"/>
    <w:rsid w:val="00D4428E"/>
    <w:rsid w:val="00D72E05"/>
    <w:rsid w:val="00ED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E66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8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28E"/>
    <w:pPr>
      <w:tabs>
        <w:tab w:val="center" w:pos="4320"/>
        <w:tab w:val="right" w:pos="8640"/>
      </w:tabs>
    </w:pPr>
  </w:style>
  <w:style w:type="character" w:customStyle="1" w:styleId="HeaderChar">
    <w:name w:val="Header Char"/>
    <w:basedOn w:val="DefaultParagraphFont"/>
    <w:link w:val="Header"/>
    <w:uiPriority w:val="99"/>
    <w:rsid w:val="00D4428E"/>
    <w:rPr>
      <w:lang w:eastAsia="en-US"/>
    </w:rPr>
  </w:style>
  <w:style w:type="character" w:styleId="PageNumber">
    <w:name w:val="page number"/>
    <w:basedOn w:val="DefaultParagraphFont"/>
    <w:uiPriority w:val="99"/>
    <w:semiHidden/>
    <w:unhideWhenUsed/>
    <w:rsid w:val="00D4428E"/>
  </w:style>
  <w:style w:type="paragraph" w:styleId="Footer">
    <w:name w:val="footer"/>
    <w:basedOn w:val="Normal"/>
    <w:link w:val="FooterChar"/>
    <w:uiPriority w:val="99"/>
    <w:unhideWhenUsed/>
    <w:rsid w:val="00D4428E"/>
    <w:pPr>
      <w:tabs>
        <w:tab w:val="center" w:pos="4320"/>
        <w:tab w:val="right" w:pos="8640"/>
      </w:tabs>
    </w:pPr>
  </w:style>
  <w:style w:type="character" w:customStyle="1" w:styleId="FooterChar">
    <w:name w:val="Footer Char"/>
    <w:basedOn w:val="DefaultParagraphFont"/>
    <w:link w:val="Footer"/>
    <w:uiPriority w:val="99"/>
    <w:rsid w:val="00D4428E"/>
    <w:rPr>
      <w:lang w:eastAsia="en-US"/>
    </w:rPr>
  </w:style>
  <w:style w:type="paragraph" w:styleId="BalloonText">
    <w:name w:val="Balloon Text"/>
    <w:basedOn w:val="Normal"/>
    <w:link w:val="BalloonTextChar"/>
    <w:uiPriority w:val="99"/>
    <w:semiHidden/>
    <w:unhideWhenUsed/>
    <w:rsid w:val="00D4428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428E"/>
    <w:rPr>
      <w:rFonts w:ascii="Lucida Grande" w:hAnsi="Lucida Grande"/>
      <w:sz w:val="18"/>
      <w:szCs w:val="18"/>
      <w:lang w:eastAsia="en-US"/>
    </w:rPr>
  </w:style>
  <w:style w:type="paragraph" w:styleId="ListParagraph">
    <w:name w:val="List Paragraph"/>
    <w:basedOn w:val="Normal"/>
    <w:uiPriority w:val="34"/>
    <w:qFormat/>
    <w:rsid w:val="00D442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8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28E"/>
    <w:pPr>
      <w:tabs>
        <w:tab w:val="center" w:pos="4320"/>
        <w:tab w:val="right" w:pos="8640"/>
      </w:tabs>
    </w:pPr>
  </w:style>
  <w:style w:type="character" w:customStyle="1" w:styleId="HeaderChar">
    <w:name w:val="Header Char"/>
    <w:basedOn w:val="DefaultParagraphFont"/>
    <w:link w:val="Header"/>
    <w:uiPriority w:val="99"/>
    <w:rsid w:val="00D4428E"/>
    <w:rPr>
      <w:lang w:eastAsia="en-US"/>
    </w:rPr>
  </w:style>
  <w:style w:type="character" w:styleId="PageNumber">
    <w:name w:val="page number"/>
    <w:basedOn w:val="DefaultParagraphFont"/>
    <w:uiPriority w:val="99"/>
    <w:semiHidden/>
    <w:unhideWhenUsed/>
    <w:rsid w:val="00D4428E"/>
  </w:style>
  <w:style w:type="paragraph" w:styleId="Footer">
    <w:name w:val="footer"/>
    <w:basedOn w:val="Normal"/>
    <w:link w:val="FooterChar"/>
    <w:uiPriority w:val="99"/>
    <w:unhideWhenUsed/>
    <w:rsid w:val="00D4428E"/>
    <w:pPr>
      <w:tabs>
        <w:tab w:val="center" w:pos="4320"/>
        <w:tab w:val="right" w:pos="8640"/>
      </w:tabs>
    </w:pPr>
  </w:style>
  <w:style w:type="character" w:customStyle="1" w:styleId="FooterChar">
    <w:name w:val="Footer Char"/>
    <w:basedOn w:val="DefaultParagraphFont"/>
    <w:link w:val="Footer"/>
    <w:uiPriority w:val="99"/>
    <w:rsid w:val="00D4428E"/>
    <w:rPr>
      <w:lang w:eastAsia="en-US"/>
    </w:rPr>
  </w:style>
  <w:style w:type="paragraph" w:styleId="BalloonText">
    <w:name w:val="Balloon Text"/>
    <w:basedOn w:val="Normal"/>
    <w:link w:val="BalloonTextChar"/>
    <w:uiPriority w:val="99"/>
    <w:semiHidden/>
    <w:unhideWhenUsed/>
    <w:rsid w:val="00D4428E"/>
    <w:rPr>
      <w:rFonts w:ascii="Lucida Grande" w:hAnsi="Lucida Grande"/>
      <w:sz w:val="18"/>
      <w:szCs w:val="18"/>
    </w:rPr>
  </w:style>
  <w:style w:type="character" w:customStyle="1" w:styleId="BalloonTextChar">
    <w:name w:val="Balloon Text Char"/>
    <w:basedOn w:val="DefaultParagraphFont"/>
    <w:link w:val="BalloonText"/>
    <w:uiPriority w:val="99"/>
    <w:semiHidden/>
    <w:rsid w:val="00D4428E"/>
    <w:rPr>
      <w:rFonts w:ascii="Lucida Grande" w:hAnsi="Lucida Grande"/>
      <w:sz w:val="18"/>
      <w:szCs w:val="18"/>
      <w:lang w:eastAsia="en-US"/>
    </w:rPr>
  </w:style>
  <w:style w:type="paragraph" w:styleId="ListParagraph">
    <w:name w:val="List Paragraph"/>
    <w:basedOn w:val="Normal"/>
    <w:uiPriority w:val="34"/>
    <w:qFormat/>
    <w:rsid w:val="00D4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chart" Target="charts/chart13.xml"/><Relationship Id="rId21" Type="http://schemas.openxmlformats.org/officeDocument/2006/relationships/chart" Target="charts/chart14.xml"/><Relationship Id="rId22" Type="http://schemas.openxmlformats.org/officeDocument/2006/relationships/chart" Target="charts/chart15.xml"/><Relationship Id="rId23" Type="http://schemas.openxmlformats.org/officeDocument/2006/relationships/chart" Target="charts/chart16.xml"/><Relationship Id="rId24" Type="http://schemas.openxmlformats.org/officeDocument/2006/relationships/chart" Target="charts/chart17.xm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chart" Target="charts/chart10.xml"/><Relationship Id="rId18" Type="http://schemas.openxmlformats.org/officeDocument/2006/relationships/chart" Target="charts/chart11.xml"/><Relationship Id="rId19" Type="http://schemas.openxmlformats.org/officeDocument/2006/relationships/chart" Target="charts/chart1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STAT37:Desktop:Population%20Morris%202010.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Population of Morris Area 2000 and 2010 </a:t>
            </a:r>
          </a:p>
        </c:rich>
      </c:tx>
      <c:layout/>
      <c:overlay val="0"/>
    </c:title>
    <c:autoTitleDeleted val="0"/>
    <c:plotArea>
      <c:layout/>
      <c:barChart>
        <c:barDir val="col"/>
        <c:grouping val="clustered"/>
        <c:varyColors val="0"/>
        <c:ser>
          <c:idx val="0"/>
          <c:order val="0"/>
          <c:tx>
            <c:strRef>
              <c:f>Sheet1!$B$1</c:f>
              <c:strCache>
                <c:ptCount val="1"/>
                <c:pt idx="0">
                  <c:v>year: 2000</c:v>
                </c:pt>
              </c:strCache>
            </c:strRef>
          </c:tx>
          <c:invertIfNegative val="0"/>
          <c:cat>
            <c:strRef>
              <c:f>Sheet1!$A$2:$A$7</c:f>
              <c:strCache>
                <c:ptCount val="6"/>
                <c:pt idx="0">
                  <c:v>Steven County</c:v>
                </c:pt>
                <c:pt idx="1">
                  <c:v>Morris</c:v>
                </c:pt>
                <c:pt idx="2">
                  <c:v>Hancock</c:v>
                </c:pt>
                <c:pt idx="3">
                  <c:v>Chokio</c:v>
                </c:pt>
                <c:pt idx="4">
                  <c:v>Donnelly</c:v>
                </c:pt>
                <c:pt idx="5">
                  <c:v>Alberta</c:v>
                </c:pt>
              </c:strCache>
            </c:strRef>
          </c:cat>
          <c:val>
            <c:numRef>
              <c:f>Sheet1!$B$2:$B$7</c:f>
              <c:numCache>
                <c:formatCode>General</c:formatCode>
                <c:ptCount val="6"/>
                <c:pt idx="0" formatCode="#,##0">
                  <c:v>10053.0</c:v>
                </c:pt>
                <c:pt idx="1">
                  <c:v>5068.0</c:v>
                </c:pt>
                <c:pt idx="2">
                  <c:v>717.0</c:v>
                </c:pt>
                <c:pt idx="3">
                  <c:v>443.0</c:v>
                </c:pt>
                <c:pt idx="4">
                  <c:v>254.0</c:v>
                </c:pt>
                <c:pt idx="5">
                  <c:v>142.0</c:v>
                </c:pt>
              </c:numCache>
            </c:numRef>
          </c:val>
        </c:ser>
        <c:ser>
          <c:idx val="1"/>
          <c:order val="1"/>
          <c:tx>
            <c:strRef>
              <c:f>Sheet1!$C$1</c:f>
              <c:strCache>
                <c:ptCount val="1"/>
                <c:pt idx="0">
                  <c:v>year: 2010</c:v>
                </c:pt>
              </c:strCache>
            </c:strRef>
          </c:tx>
          <c:invertIfNegative val="0"/>
          <c:cat>
            <c:strRef>
              <c:f>Sheet1!$A$2:$A$7</c:f>
              <c:strCache>
                <c:ptCount val="6"/>
                <c:pt idx="0">
                  <c:v>Steven County</c:v>
                </c:pt>
                <c:pt idx="1">
                  <c:v>Morris</c:v>
                </c:pt>
                <c:pt idx="2">
                  <c:v>Hancock</c:v>
                </c:pt>
                <c:pt idx="3">
                  <c:v>Chokio</c:v>
                </c:pt>
                <c:pt idx="4">
                  <c:v>Donnelly</c:v>
                </c:pt>
                <c:pt idx="5">
                  <c:v>Alberta</c:v>
                </c:pt>
              </c:strCache>
            </c:strRef>
          </c:cat>
          <c:val>
            <c:numRef>
              <c:f>Sheet1!$C$2:$C$7</c:f>
              <c:numCache>
                <c:formatCode>#,##0</c:formatCode>
                <c:ptCount val="6"/>
                <c:pt idx="0" formatCode="General">
                  <c:v>9726.0</c:v>
                </c:pt>
                <c:pt idx="1">
                  <c:v>5286.0</c:v>
                </c:pt>
                <c:pt idx="2" formatCode="General">
                  <c:v>765.0</c:v>
                </c:pt>
                <c:pt idx="3" formatCode="General">
                  <c:v>400.0</c:v>
                </c:pt>
                <c:pt idx="4" formatCode="General">
                  <c:v>241.0</c:v>
                </c:pt>
                <c:pt idx="5" formatCode="General">
                  <c:v>103.0</c:v>
                </c:pt>
              </c:numCache>
            </c:numRef>
          </c:val>
        </c:ser>
        <c:dLbls>
          <c:showLegendKey val="0"/>
          <c:showVal val="0"/>
          <c:showCatName val="0"/>
          <c:showSerName val="0"/>
          <c:showPercent val="0"/>
          <c:showBubbleSize val="0"/>
        </c:dLbls>
        <c:gapWidth val="150"/>
        <c:axId val="532338424"/>
        <c:axId val="532020728"/>
      </c:barChart>
      <c:catAx>
        <c:axId val="532338424"/>
        <c:scaling>
          <c:orientation val="minMax"/>
        </c:scaling>
        <c:delete val="0"/>
        <c:axPos val="b"/>
        <c:majorTickMark val="none"/>
        <c:minorTickMark val="none"/>
        <c:tickLblPos val="nextTo"/>
        <c:crossAx val="532020728"/>
        <c:crosses val="autoZero"/>
        <c:auto val="1"/>
        <c:lblAlgn val="ctr"/>
        <c:lblOffset val="100"/>
        <c:noMultiLvlLbl val="0"/>
      </c:catAx>
      <c:valAx>
        <c:axId val="532020728"/>
        <c:scaling>
          <c:orientation val="minMax"/>
        </c:scaling>
        <c:delete val="0"/>
        <c:axPos val="l"/>
        <c:majorGridlines/>
        <c:numFmt formatCode="#,##0" sourceLinked="1"/>
        <c:majorTickMark val="none"/>
        <c:minorTickMark val="none"/>
        <c:tickLblPos val="nextTo"/>
        <c:crossAx val="5323384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Industries</a:t>
            </a:r>
            <a:r>
              <a:rPr lang="en-US" baseline="0"/>
              <a:t> in Morris City in 2000 and 2010 </a:t>
            </a:r>
            <a:endParaRPr lang="en-US"/>
          </a:p>
        </c:rich>
      </c:tx>
      <c:layout>
        <c:manualLayout>
          <c:xMode val="edge"/>
          <c:yMode val="edge"/>
          <c:x val="0.0114463035870516"/>
          <c:y val="0.0420388859695218"/>
        </c:manualLayout>
      </c:layout>
      <c:overlay val="0"/>
    </c:title>
    <c:autoTitleDeleted val="0"/>
    <c:plotArea>
      <c:layout/>
      <c:barChart>
        <c:barDir val="col"/>
        <c:grouping val="clustered"/>
        <c:varyColors val="0"/>
        <c:ser>
          <c:idx val="0"/>
          <c:order val="0"/>
          <c:tx>
            <c:strRef>
              <c:f>Sheet8!$B$1</c:f>
              <c:strCache>
                <c:ptCount val="1"/>
                <c:pt idx="0">
                  <c:v>year : 2010</c:v>
                </c:pt>
              </c:strCache>
            </c:strRef>
          </c:tx>
          <c:invertIfNegative val="0"/>
          <c:cat>
            <c:strRef>
              <c:f>Sheet8!$A$2:$A$14</c:f>
              <c:strCache>
                <c:ptCount val="13"/>
                <c:pt idx="0">
                  <c:v>Agriculture, forestry, fishing and hunting, and mining</c:v>
                </c:pt>
                <c:pt idx="1">
                  <c:v>Construction</c:v>
                </c:pt>
                <c:pt idx="2">
                  <c:v>Manufacturing</c:v>
                </c:pt>
                <c:pt idx="3">
                  <c:v>Wholesale trade</c:v>
                </c:pt>
                <c:pt idx="4">
                  <c:v>Retail trade</c:v>
                </c:pt>
                <c:pt idx="5">
                  <c:v>Transportation and warehousing, and utilities</c:v>
                </c:pt>
                <c:pt idx="6">
                  <c:v>Information</c:v>
                </c:pt>
                <c:pt idx="7">
                  <c:v>Finance and insurance, and real estate and rental and leasing</c:v>
                </c:pt>
                <c:pt idx="8">
                  <c:v>Professional, scientific, and management, and administrative and waste management services</c:v>
                </c:pt>
                <c:pt idx="9">
                  <c:v>Educational services, and health care and social assistance</c:v>
                </c:pt>
                <c:pt idx="10">
                  <c:v>Arts, entertainment, and recreation, and accommodation and food services</c:v>
                </c:pt>
                <c:pt idx="11">
                  <c:v>Other services, except public administration</c:v>
                </c:pt>
                <c:pt idx="12">
                  <c:v>Public administration</c:v>
                </c:pt>
              </c:strCache>
            </c:strRef>
          </c:cat>
          <c:val>
            <c:numRef>
              <c:f>Sheet8!$B$2:$B$14</c:f>
              <c:numCache>
                <c:formatCode>General</c:formatCode>
                <c:ptCount val="13"/>
                <c:pt idx="0">
                  <c:v>120.0</c:v>
                </c:pt>
                <c:pt idx="1">
                  <c:v>45.0</c:v>
                </c:pt>
                <c:pt idx="2">
                  <c:v>218.0</c:v>
                </c:pt>
                <c:pt idx="3">
                  <c:v>38.0</c:v>
                </c:pt>
                <c:pt idx="4">
                  <c:v>323.0</c:v>
                </c:pt>
                <c:pt idx="5">
                  <c:v>39.0</c:v>
                </c:pt>
                <c:pt idx="6">
                  <c:v>43.0</c:v>
                </c:pt>
                <c:pt idx="7">
                  <c:v>109.0</c:v>
                </c:pt>
                <c:pt idx="8">
                  <c:v>119.0</c:v>
                </c:pt>
                <c:pt idx="9" formatCode="#,##0">
                  <c:v>1548.0</c:v>
                </c:pt>
                <c:pt idx="10">
                  <c:v>171.0</c:v>
                </c:pt>
                <c:pt idx="11">
                  <c:v>83.0</c:v>
                </c:pt>
                <c:pt idx="12">
                  <c:v>85.0</c:v>
                </c:pt>
              </c:numCache>
            </c:numRef>
          </c:val>
        </c:ser>
        <c:ser>
          <c:idx val="1"/>
          <c:order val="1"/>
          <c:tx>
            <c:strRef>
              <c:f>Sheet8!$C$1</c:f>
              <c:strCache>
                <c:ptCount val="1"/>
                <c:pt idx="0">
                  <c:v>year: 2000</c:v>
                </c:pt>
              </c:strCache>
            </c:strRef>
          </c:tx>
          <c:invertIfNegative val="0"/>
          <c:cat>
            <c:strRef>
              <c:f>Sheet8!$A$2:$A$14</c:f>
              <c:strCache>
                <c:ptCount val="13"/>
                <c:pt idx="0">
                  <c:v>Agriculture, forestry, fishing and hunting, and mining</c:v>
                </c:pt>
                <c:pt idx="1">
                  <c:v>Construction</c:v>
                </c:pt>
                <c:pt idx="2">
                  <c:v>Manufacturing</c:v>
                </c:pt>
                <c:pt idx="3">
                  <c:v>Wholesale trade</c:v>
                </c:pt>
                <c:pt idx="4">
                  <c:v>Retail trade</c:v>
                </c:pt>
                <c:pt idx="5">
                  <c:v>Transportation and warehousing, and utilities</c:v>
                </c:pt>
                <c:pt idx="6">
                  <c:v>Information</c:v>
                </c:pt>
                <c:pt idx="7">
                  <c:v>Finance and insurance, and real estate and rental and leasing</c:v>
                </c:pt>
                <c:pt idx="8">
                  <c:v>Professional, scientific, and management, and administrative and waste management services</c:v>
                </c:pt>
                <c:pt idx="9">
                  <c:v>Educational services, and health care and social assistance</c:v>
                </c:pt>
                <c:pt idx="10">
                  <c:v>Arts, entertainment, and recreation, and accommodation and food services</c:v>
                </c:pt>
                <c:pt idx="11">
                  <c:v>Other services, except public administration</c:v>
                </c:pt>
                <c:pt idx="12">
                  <c:v>Public administration</c:v>
                </c:pt>
              </c:strCache>
            </c:strRef>
          </c:cat>
          <c:val>
            <c:numRef>
              <c:f>Sheet8!$C$2:$C$14</c:f>
              <c:numCache>
                <c:formatCode>General</c:formatCode>
                <c:ptCount val="13"/>
                <c:pt idx="0">
                  <c:v>95.0</c:v>
                </c:pt>
                <c:pt idx="1">
                  <c:v>122.0</c:v>
                </c:pt>
                <c:pt idx="2">
                  <c:v>235.0</c:v>
                </c:pt>
                <c:pt idx="3">
                  <c:v>27.0</c:v>
                </c:pt>
                <c:pt idx="4">
                  <c:v>290.0</c:v>
                </c:pt>
                <c:pt idx="5">
                  <c:v>71.0</c:v>
                </c:pt>
                <c:pt idx="6">
                  <c:v>88.0</c:v>
                </c:pt>
                <c:pt idx="7">
                  <c:v>97.0</c:v>
                </c:pt>
                <c:pt idx="8">
                  <c:v>98.0</c:v>
                </c:pt>
                <c:pt idx="9" formatCode="#,##0">
                  <c:v>1166.0</c:v>
                </c:pt>
                <c:pt idx="10">
                  <c:v>251.0</c:v>
                </c:pt>
                <c:pt idx="11">
                  <c:v>62.0</c:v>
                </c:pt>
                <c:pt idx="12">
                  <c:v>90.0</c:v>
                </c:pt>
              </c:numCache>
            </c:numRef>
          </c:val>
        </c:ser>
        <c:dLbls>
          <c:showLegendKey val="0"/>
          <c:showVal val="0"/>
          <c:showCatName val="0"/>
          <c:showSerName val="0"/>
          <c:showPercent val="0"/>
          <c:showBubbleSize val="0"/>
        </c:dLbls>
        <c:gapWidth val="150"/>
        <c:axId val="612134008"/>
        <c:axId val="595166632"/>
      </c:barChart>
      <c:catAx>
        <c:axId val="612134008"/>
        <c:scaling>
          <c:orientation val="minMax"/>
        </c:scaling>
        <c:delete val="0"/>
        <c:axPos val="b"/>
        <c:majorTickMark val="none"/>
        <c:minorTickMark val="none"/>
        <c:tickLblPos val="nextTo"/>
        <c:crossAx val="595166632"/>
        <c:crosses val="autoZero"/>
        <c:auto val="1"/>
        <c:lblAlgn val="ctr"/>
        <c:lblOffset val="100"/>
        <c:noMultiLvlLbl val="0"/>
      </c:catAx>
      <c:valAx>
        <c:axId val="595166632"/>
        <c:scaling>
          <c:orientation val="minMax"/>
        </c:scaling>
        <c:delete val="0"/>
        <c:axPos val="l"/>
        <c:majorGridlines/>
        <c:numFmt formatCode="General" sourceLinked="1"/>
        <c:majorTickMark val="out"/>
        <c:minorTickMark val="none"/>
        <c:tickLblPos val="nextTo"/>
        <c:crossAx val="6121340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Industries in Morris City</a:t>
            </a:r>
            <a:r>
              <a:rPr lang="en-US" baseline="0"/>
              <a:t>, 2010</a:t>
            </a:r>
            <a:r>
              <a:rPr lang="en-US"/>
              <a:t> </a:t>
            </a:r>
          </a:p>
        </c:rich>
      </c:tx>
      <c:layout/>
      <c:overlay val="0"/>
    </c:title>
    <c:autoTitleDeleted val="0"/>
    <c:plotArea>
      <c:layout>
        <c:manualLayout>
          <c:layoutTarget val="inner"/>
          <c:xMode val="edge"/>
          <c:yMode val="edge"/>
          <c:x val="0.00984840531297224"/>
          <c:y val="0.323941981953268"/>
          <c:w val="0.509596118666985"/>
          <c:h val="0.386767983348907"/>
        </c:manualLayout>
      </c:layout>
      <c:pieChart>
        <c:varyColors val="1"/>
        <c:ser>
          <c:idx val="0"/>
          <c:order val="0"/>
          <c:dPt>
            <c:idx val="9"/>
            <c:bubble3D val="0"/>
            <c:explosion val="10"/>
          </c:dPt>
          <c:dLbls>
            <c:showLegendKey val="0"/>
            <c:showVal val="0"/>
            <c:showCatName val="0"/>
            <c:showSerName val="0"/>
            <c:showPercent val="1"/>
            <c:showBubbleSize val="0"/>
            <c:showLeaderLines val="1"/>
          </c:dLbls>
          <c:cat>
            <c:strRef>
              <c:f>Sheet2!$A$1:$A$11</c:f>
              <c:strCache>
                <c:ptCount val="11"/>
                <c:pt idx="0">
                  <c:v>Agriculture, forestry, fishing and hunting, and mining</c:v>
                </c:pt>
                <c:pt idx="1">
                  <c:v>Construction</c:v>
                </c:pt>
                <c:pt idx="2">
                  <c:v>Manufacturing</c:v>
                </c:pt>
                <c:pt idx="3">
                  <c:v>Wholesale trade</c:v>
                </c:pt>
                <c:pt idx="4">
                  <c:v>Retail trade</c:v>
                </c:pt>
                <c:pt idx="5">
                  <c:v>Transportation and warehousing, and utilities</c:v>
                </c:pt>
                <c:pt idx="6">
                  <c:v>Information</c:v>
                </c:pt>
                <c:pt idx="7">
                  <c:v>Finance and insurance, and real estate and rental and leasing</c:v>
                </c:pt>
                <c:pt idx="8">
                  <c:v>Professional, scientific, and management, and administrative and waste management services</c:v>
                </c:pt>
                <c:pt idx="9">
                  <c:v>Educational services, and health care and social assistance</c:v>
                </c:pt>
                <c:pt idx="10">
                  <c:v>Arts, entertainment, and recreation, and accommodation and food services</c:v>
                </c:pt>
              </c:strCache>
            </c:strRef>
          </c:cat>
          <c:val>
            <c:numRef>
              <c:f>Sheet2!$B$1:$B$11</c:f>
              <c:numCache>
                <c:formatCode>General</c:formatCode>
                <c:ptCount val="11"/>
                <c:pt idx="0">
                  <c:v>120.0</c:v>
                </c:pt>
                <c:pt idx="1">
                  <c:v>45.0</c:v>
                </c:pt>
                <c:pt idx="2">
                  <c:v>218.0</c:v>
                </c:pt>
                <c:pt idx="3">
                  <c:v>38.0</c:v>
                </c:pt>
                <c:pt idx="4">
                  <c:v>323.0</c:v>
                </c:pt>
                <c:pt idx="5">
                  <c:v>39.0</c:v>
                </c:pt>
                <c:pt idx="6">
                  <c:v>43.0</c:v>
                </c:pt>
                <c:pt idx="7">
                  <c:v>109.0</c:v>
                </c:pt>
                <c:pt idx="8">
                  <c:v>119.0</c:v>
                </c:pt>
                <c:pt idx="9" formatCode="#,##0">
                  <c:v>1548.0</c:v>
                </c:pt>
                <c:pt idx="10">
                  <c:v>171.0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Housing</a:t>
            </a:r>
            <a:r>
              <a:rPr lang="en-US" baseline="0"/>
              <a:t> Occupancy, 2010</a:t>
            </a:r>
            <a:endParaRPr lang="en-US"/>
          </a:p>
        </c:rich>
      </c:tx>
      <c:layout/>
      <c:overlay val="0"/>
    </c:title>
    <c:autoTitleDeleted val="0"/>
    <c:plotArea>
      <c:layout/>
      <c:pieChart>
        <c:varyColors val="1"/>
        <c:ser>
          <c:idx val="0"/>
          <c:order val="0"/>
          <c:dLbls>
            <c:dLbl>
              <c:idx val="1"/>
              <c:layout>
                <c:manualLayout>
                  <c:x val="-0.270843503937008"/>
                  <c:y val="0.0621037474482356"/>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'Population Morris 2010.csv'!$A$10:$A$11</c:f>
              <c:strCache>
                <c:ptCount val="2"/>
                <c:pt idx="0">
                  <c:v>Occupied housing units</c:v>
                </c:pt>
                <c:pt idx="1">
                  <c:v>Vacant housing units</c:v>
                </c:pt>
              </c:strCache>
            </c:strRef>
          </c:cat>
          <c:val>
            <c:numRef>
              <c:f>'Population Morris 2010.csv'!$B$10:$B$11</c:f>
              <c:numCache>
                <c:formatCode>General</c:formatCode>
                <c:ptCount val="2"/>
                <c:pt idx="0">
                  <c:v>1986.0</c:v>
                </c:pt>
                <c:pt idx="1">
                  <c:v>213.0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Vacant</a:t>
            </a:r>
            <a:r>
              <a:rPr lang="en-US" baseline="0"/>
              <a:t> Housing Unit, 2010</a:t>
            </a:r>
            <a:endParaRPr lang="en-US"/>
          </a:p>
        </c:rich>
      </c:tx>
      <c:layout/>
      <c:overlay val="0"/>
    </c:title>
    <c:autoTitleDeleted val="0"/>
    <c:plotArea>
      <c:layout>
        <c:manualLayout>
          <c:layoutTarget val="inner"/>
          <c:xMode val="edge"/>
          <c:yMode val="edge"/>
          <c:x val="0.257183216681248"/>
          <c:y val="0.181731975334161"/>
          <c:w val="0.494893008165646"/>
          <c:h val="0.697191519737678"/>
        </c:manualLayout>
      </c:layout>
      <c:pieChart>
        <c:varyColors val="1"/>
        <c:ser>
          <c:idx val="0"/>
          <c:order val="0"/>
          <c:dLbls>
            <c:dLbl>
              <c:idx val="1"/>
              <c:layout>
                <c:manualLayout>
                  <c:x val="0.0920294875340213"/>
                  <c:y val="0.0191732283464567"/>
                </c:manualLayout>
              </c:layout>
              <c:showLegendKey val="0"/>
              <c:showVal val="0"/>
              <c:showCatName val="1"/>
              <c:showSerName val="0"/>
              <c:showPercent val="1"/>
              <c:showBubbleSize val="0"/>
            </c:dLbl>
            <c:dLbl>
              <c:idx val="3"/>
              <c:layout>
                <c:manualLayout>
                  <c:x val="-0.0246790720013972"/>
                  <c:y val="0.0112778871391076"/>
                </c:manualLayout>
              </c:layout>
              <c:showLegendKey val="0"/>
              <c:showVal val="0"/>
              <c:showCatName val="1"/>
              <c:showSerName val="0"/>
              <c:showPercent val="1"/>
              <c:showBubbleSize val="0"/>
            </c:dLbl>
            <c:dLbl>
              <c:idx val="4"/>
              <c:layout>
                <c:manualLayout>
                  <c:x val="-0.0313682012022065"/>
                  <c:y val="-0.00376476377952756"/>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'Population Morris 2010.csv'!$A$1:$A$6</c:f>
              <c:strCache>
                <c:ptCount val="6"/>
                <c:pt idx="0">
                  <c:v>         Vacant-For rent</c:v>
                </c:pt>
                <c:pt idx="1">
                  <c:v>         Vacant-Rented, not occupied</c:v>
                </c:pt>
                <c:pt idx="2">
                  <c:v>         Vacant-For sale only</c:v>
                </c:pt>
                <c:pt idx="3">
                  <c:v>        Vacant- Sold, not occupied</c:v>
                </c:pt>
                <c:pt idx="4">
                  <c:v>      Vacant-For seasonal, recreational, or occasional use</c:v>
                </c:pt>
                <c:pt idx="5">
                  <c:v>      All other vacants</c:v>
                </c:pt>
              </c:strCache>
            </c:strRef>
          </c:cat>
          <c:val>
            <c:numRef>
              <c:f>'Population Morris 2010.csv'!$B$1:$B$6</c:f>
              <c:numCache>
                <c:formatCode>General</c:formatCode>
                <c:ptCount val="6"/>
                <c:pt idx="0">
                  <c:v>81.0</c:v>
                </c:pt>
                <c:pt idx="1">
                  <c:v>1.0</c:v>
                </c:pt>
                <c:pt idx="2">
                  <c:v>37.0</c:v>
                </c:pt>
                <c:pt idx="3">
                  <c:v>8.0</c:v>
                </c:pt>
                <c:pt idx="4">
                  <c:v>22.0</c:v>
                </c:pt>
                <c:pt idx="5">
                  <c:v>64.0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Morris</a:t>
            </a:r>
            <a:r>
              <a:rPr lang="en-US" baseline="0"/>
              <a:t> Area Housing Values  2010</a:t>
            </a:r>
            <a:endParaRPr lang="en-US"/>
          </a:p>
        </c:rich>
      </c:tx>
      <c:layout/>
      <c:overlay val="0"/>
    </c:title>
    <c:autoTitleDeleted val="0"/>
    <c:plotArea>
      <c:layout/>
      <c:barChart>
        <c:barDir val="col"/>
        <c:grouping val="clustered"/>
        <c:varyColors val="0"/>
        <c:ser>
          <c:idx val="0"/>
          <c:order val="0"/>
          <c:tx>
            <c:strRef>
              <c:f>Sheet9!$B$1</c:f>
              <c:strCache>
                <c:ptCount val="1"/>
                <c:pt idx="0">
                  <c:v>2000 Median Value </c:v>
                </c:pt>
              </c:strCache>
            </c:strRef>
          </c:tx>
          <c:invertIfNegative val="0"/>
          <c:cat>
            <c:strRef>
              <c:f>Sheet9!$A$2:$A$6</c:f>
              <c:strCache>
                <c:ptCount val="5"/>
                <c:pt idx="0">
                  <c:v>Morris</c:v>
                </c:pt>
                <c:pt idx="1">
                  <c:v>Hancock</c:v>
                </c:pt>
                <c:pt idx="2">
                  <c:v>Chokio</c:v>
                </c:pt>
                <c:pt idx="3">
                  <c:v>Donnelly</c:v>
                </c:pt>
                <c:pt idx="4">
                  <c:v>Alberta</c:v>
                </c:pt>
              </c:strCache>
            </c:strRef>
          </c:cat>
          <c:val>
            <c:numRef>
              <c:f>Sheet9!$B$2:$B$6</c:f>
              <c:numCache>
                <c:formatCode>#,##0</c:formatCode>
                <c:ptCount val="5"/>
                <c:pt idx="0">
                  <c:v>70900.0</c:v>
                </c:pt>
                <c:pt idx="1">
                  <c:v>40000.0</c:v>
                </c:pt>
                <c:pt idx="2">
                  <c:v>45300.0</c:v>
                </c:pt>
                <c:pt idx="3">
                  <c:v>44500.0</c:v>
                </c:pt>
                <c:pt idx="4">
                  <c:v>38000.0</c:v>
                </c:pt>
              </c:numCache>
            </c:numRef>
          </c:val>
        </c:ser>
        <c:ser>
          <c:idx val="1"/>
          <c:order val="1"/>
          <c:tx>
            <c:strRef>
              <c:f>Sheet9!$C$1</c:f>
              <c:strCache>
                <c:ptCount val="1"/>
                <c:pt idx="0">
                  <c:v>2012 Median Value </c:v>
                </c:pt>
              </c:strCache>
            </c:strRef>
          </c:tx>
          <c:invertIfNegative val="0"/>
          <c:cat>
            <c:strRef>
              <c:f>Sheet9!$A$2:$A$6</c:f>
              <c:strCache>
                <c:ptCount val="5"/>
                <c:pt idx="0">
                  <c:v>Morris</c:v>
                </c:pt>
                <c:pt idx="1">
                  <c:v>Hancock</c:v>
                </c:pt>
                <c:pt idx="2">
                  <c:v>Chokio</c:v>
                </c:pt>
                <c:pt idx="3">
                  <c:v>Donnelly</c:v>
                </c:pt>
                <c:pt idx="4">
                  <c:v>Alberta</c:v>
                </c:pt>
              </c:strCache>
            </c:strRef>
          </c:cat>
          <c:val>
            <c:numRef>
              <c:f>Sheet9!$C$2:$C$6</c:f>
              <c:numCache>
                <c:formatCode>#,##0</c:formatCode>
                <c:ptCount val="5"/>
                <c:pt idx="0">
                  <c:v>126100.0</c:v>
                </c:pt>
                <c:pt idx="1">
                  <c:v>65000.0</c:v>
                </c:pt>
                <c:pt idx="2">
                  <c:v>76800.0</c:v>
                </c:pt>
                <c:pt idx="3">
                  <c:v>78600.0</c:v>
                </c:pt>
                <c:pt idx="4">
                  <c:v>48600.0</c:v>
                </c:pt>
              </c:numCache>
            </c:numRef>
          </c:val>
        </c:ser>
        <c:dLbls>
          <c:showLegendKey val="0"/>
          <c:showVal val="0"/>
          <c:showCatName val="0"/>
          <c:showSerName val="0"/>
          <c:showPercent val="0"/>
          <c:showBubbleSize val="0"/>
        </c:dLbls>
        <c:gapWidth val="150"/>
        <c:axId val="532137032"/>
        <c:axId val="595387720"/>
      </c:barChart>
      <c:catAx>
        <c:axId val="532137032"/>
        <c:scaling>
          <c:orientation val="minMax"/>
        </c:scaling>
        <c:delete val="0"/>
        <c:axPos val="b"/>
        <c:title>
          <c:tx>
            <c:rich>
              <a:bodyPr/>
              <a:lstStyle/>
              <a:p>
                <a:pPr>
                  <a:defRPr/>
                </a:pPr>
                <a:r>
                  <a:rPr lang="en-US"/>
                  <a:t>Cities</a:t>
                </a:r>
              </a:p>
            </c:rich>
          </c:tx>
          <c:layout/>
          <c:overlay val="0"/>
        </c:title>
        <c:majorTickMark val="none"/>
        <c:minorTickMark val="none"/>
        <c:tickLblPos val="nextTo"/>
        <c:crossAx val="595387720"/>
        <c:crosses val="autoZero"/>
        <c:auto val="1"/>
        <c:lblAlgn val="ctr"/>
        <c:lblOffset val="100"/>
        <c:noMultiLvlLbl val="0"/>
      </c:catAx>
      <c:valAx>
        <c:axId val="595387720"/>
        <c:scaling>
          <c:orientation val="minMax"/>
        </c:scaling>
        <c:delete val="0"/>
        <c:axPos val="l"/>
        <c:majorGridlines/>
        <c:title>
          <c:tx>
            <c:rich>
              <a:bodyPr/>
              <a:lstStyle/>
              <a:p>
                <a:pPr>
                  <a:defRPr/>
                </a:pPr>
                <a:r>
                  <a:rPr lang="en-US"/>
                  <a:t>Housing</a:t>
                </a:r>
                <a:r>
                  <a:rPr lang="en-US" baseline="0"/>
                  <a:t> Value</a:t>
                </a:r>
                <a:endParaRPr lang="en-US"/>
              </a:p>
            </c:rich>
          </c:tx>
          <c:layout/>
          <c:overlay val="0"/>
        </c:title>
        <c:numFmt formatCode="#,##0" sourceLinked="1"/>
        <c:majorTickMark val="out"/>
        <c:minorTickMark val="none"/>
        <c:tickLblPos val="nextTo"/>
        <c:crossAx val="5321370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Age of Housing</a:t>
            </a:r>
            <a:r>
              <a:rPr lang="en-US" baseline="0"/>
              <a:t> Stock in </a:t>
            </a:r>
            <a:r>
              <a:rPr lang="en-US"/>
              <a:t>Morris City </a:t>
            </a:r>
          </a:p>
        </c:rich>
      </c:tx>
      <c:layout>
        <c:manualLayout>
          <c:xMode val="edge"/>
          <c:yMode val="edge"/>
          <c:x val="0.186367197569099"/>
          <c:y val="0.0224014336917563"/>
        </c:manualLayout>
      </c:layout>
      <c:overlay val="0"/>
    </c:title>
    <c:autoTitleDeleted val="0"/>
    <c:plotArea>
      <c:layout/>
      <c:barChart>
        <c:barDir val="col"/>
        <c:grouping val="clustered"/>
        <c:varyColors val="0"/>
        <c:ser>
          <c:idx val="0"/>
          <c:order val="0"/>
          <c:tx>
            <c:strRef>
              <c:f>Sheet3!$B$14</c:f>
              <c:strCache>
                <c:ptCount val="1"/>
                <c:pt idx="0">
                  <c:v>Morris City </c:v>
                </c:pt>
              </c:strCache>
            </c:strRef>
          </c:tx>
          <c:invertIfNegative val="0"/>
          <c:cat>
            <c:strRef>
              <c:f>Sheet3!$A$15:$A$23</c:f>
              <c:strCache>
                <c:ptCount val="9"/>
                <c:pt idx="0">
                  <c:v> 2005 or later</c:v>
                </c:pt>
                <c:pt idx="1">
                  <c:v> 2000 to 2004</c:v>
                </c:pt>
                <c:pt idx="2">
                  <c:v> 1990 to 1999</c:v>
                </c:pt>
                <c:pt idx="3">
                  <c:v>1980 to 1989</c:v>
                </c:pt>
                <c:pt idx="4">
                  <c:v>1970 to 1979</c:v>
                </c:pt>
                <c:pt idx="5">
                  <c:v>1960 to 1969</c:v>
                </c:pt>
                <c:pt idx="6">
                  <c:v> 1950 to 1959</c:v>
                </c:pt>
                <c:pt idx="7">
                  <c:v>1940 to 1949</c:v>
                </c:pt>
                <c:pt idx="8">
                  <c:v> 1939 or earlier</c:v>
                </c:pt>
              </c:strCache>
            </c:strRef>
          </c:cat>
          <c:val>
            <c:numRef>
              <c:f>Sheet3!$B$15:$B$23</c:f>
              <c:numCache>
                <c:formatCode>General</c:formatCode>
                <c:ptCount val="9"/>
                <c:pt idx="0">
                  <c:v>22.0</c:v>
                </c:pt>
                <c:pt idx="1">
                  <c:v>66.0</c:v>
                </c:pt>
                <c:pt idx="2">
                  <c:v>227.0</c:v>
                </c:pt>
                <c:pt idx="3">
                  <c:v>255.0</c:v>
                </c:pt>
                <c:pt idx="4">
                  <c:v>196.0</c:v>
                </c:pt>
                <c:pt idx="5">
                  <c:v>293.0</c:v>
                </c:pt>
                <c:pt idx="6">
                  <c:v>358.0</c:v>
                </c:pt>
                <c:pt idx="7">
                  <c:v>200.0</c:v>
                </c:pt>
                <c:pt idx="8">
                  <c:v>485.0</c:v>
                </c:pt>
              </c:numCache>
            </c:numRef>
          </c:val>
        </c:ser>
        <c:dLbls>
          <c:showLegendKey val="0"/>
          <c:showVal val="0"/>
          <c:showCatName val="0"/>
          <c:showSerName val="0"/>
          <c:showPercent val="0"/>
          <c:showBubbleSize val="0"/>
        </c:dLbls>
        <c:gapWidth val="150"/>
        <c:axId val="493630280"/>
        <c:axId val="493770712"/>
      </c:barChart>
      <c:catAx>
        <c:axId val="493630280"/>
        <c:scaling>
          <c:orientation val="minMax"/>
        </c:scaling>
        <c:delete val="0"/>
        <c:axPos val="b"/>
        <c:title>
          <c:tx>
            <c:rich>
              <a:bodyPr/>
              <a:lstStyle/>
              <a:p>
                <a:pPr>
                  <a:defRPr/>
                </a:pPr>
                <a:r>
                  <a:rPr lang="en-US"/>
                  <a:t>Year</a:t>
                </a:r>
                <a:r>
                  <a:rPr lang="en-US" baseline="0"/>
                  <a:t> Sturcture was Built</a:t>
                </a:r>
                <a:endParaRPr lang="en-US"/>
              </a:p>
            </c:rich>
          </c:tx>
          <c:layout/>
          <c:overlay val="0"/>
        </c:title>
        <c:majorTickMark val="none"/>
        <c:minorTickMark val="none"/>
        <c:tickLblPos val="nextTo"/>
        <c:crossAx val="493770712"/>
        <c:crosses val="autoZero"/>
        <c:auto val="1"/>
        <c:lblAlgn val="ctr"/>
        <c:lblOffset val="100"/>
        <c:noMultiLvlLbl val="0"/>
      </c:catAx>
      <c:valAx>
        <c:axId val="493770712"/>
        <c:scaling>
          <c:orientation val="minMax"/>
        </c:scaling>
        <c:delete val="0"/>
        <c:axPos val="l"/>
        <c:majorGridlines/>
        <c:title>
          <c:tx>
            <c:rich>
              <a:bodyPr/>
              <a:lstStyle/>
              <a:p>
                <a:pPr>
                  <a:defRPr/>
                </a:pPr>
                <a:r>
                  <a:rPr lang="en-US"/>
                  <a:t>Numver</a:t>
                </a:r>
                <a:r>
                  <a:rPr lang="en-US" baseline="0"/>
                  <a:t> of Houses Built</a:t>
                </a:r>
                <a:endParaRPr lang="en-US"/>
              </a:p>
            </c:rich>
          </c:tx>
          <c:layout>
            <c:manualLayout>
              <c:xMode val="edge"/>
              <c:yMode val="edge"/>
              <c:x val="0.0333333333333333"/>
              <c:y val="0.215740740740741"/>
            </c:manualLayout>
          </c:layout>
          <c:overlay val="0"/>
        </c:title>
        <c:numFmt formatCode="General" sourceLinked="1"/>
        <c:majorTickMark val="out"/>
        <c:minorTickMark val="none"/>
        <c:tickLblPos val="nextTo"/>
        <c:crossAx val="4936302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baseline="0">
                <a:effectLst/>
              </a:rPr>
              <a:t>Age of Housing Stock in Morris City and Stevens County  </a:t>
            </a:r>
            <a:endParaRPr lang="en-US">
              <a:effectLst/>
            </a:endParaRPr>
          </a:p>
        </c:rich>
      </c:tx>
      <c:layout/>
      <c:overlay val="0"/>
    </c:title>
    <c:autoTitleDeleted val="0"/>
    <c:plotArea>
      <c:layout/>
      <c:barChart>
        <c:barDir val="col"/>
        <c:grouping val="clustered"/>
        <c:varyColors val="0"/>
        <c:ser>
          <c:idx val="0"/>
          <c:order val="0"/>
          <c:tx>
            <c:strRef>
              <c:f>Sheet3!$B$1</c:f>
              <c:strCache>
                <c:ptCount val="1"/>
                <c:pt idx="0">
                  <c:v>Morris City </c:v>
                </c:pt>
              </c:strCache>
            </c:strRef>
          </c:tx>
          <c:invertIfNegative val="0"/>
          <c:cat>
            <c:strRef>
              <c:f>Sheet3!$A$2:$A$11</c:f>
              <c:strCache>
                <c:ptCount val="10"/>
                <c:pt idx="0">
                  <c:v> 2005 or later</c:v>
                </c:pt>
                <c:pt idx="1">
                  <c:v> 2000 to 2004</c:v>
                </c:pt>
                <c:pt idx="2">
                  <c:v> 1990 to 1999</c:v>
                </c:pt>
                <c:pt idx="3">
                  <c:v>1980 to 1989</c:v>
                </c:pt>
                <c:pt idx="4">
                  <c:v>1970 to 1979</c:v>
                </c:pt>
                <c:pt idx="5">
                  <c:v>1960 to 1969</c:v>
                </c:pt>
                <c:pt idx="6">
                  <c:v> 1950 to 1959</c:v>
                </c:pt>
                <c:pt idx="7">
                  <c:v>1940 to 1949</c:v>
                </c:pt>
                <c:pt idx="8">
                  <c:v> 1939 or earlier</c:v>
                </c:pt>
                <c:pt idx="9">
                  <c:v>Total</c:v>
                </c:pt>
              </c:strCache>
            </c:strRef>
          </c:cat>
          <c:val>
            <c:numRef>
              <c:f>Sheet3!$B$2:$B$11</c:f>
              <c:numCache>
                <c:formatCode>General</c:formatCode>
                <c:ptCount val="10"/>
                <c:pt idx="0">
                  <c:v>22.0</c:v>
                </c:pt>
                <c:pt idx="1">
                  <c:v>66.0</c:v>
                </c:pt>
                <c:pt idx="2">
                  <c:v>227.0</c:v>
                </c:pt>
                <c:pt idx="3">
                  <c:v>255.0</c:v>
                </c:pt>
                <c:pt idx="4">
                  <c:v>196.0</c:v>
                </c:pt>
                <c:pt idx="5">
                  <c:v>293.0</c:v>
                </c:pt>
                <c:pt idx="6">
                  <c:v>358.0</c:v>
                </c:pt>
                <c:pt idx="7">
                  <c:v>200.0</c:v>
                </c:pt>
                <c:pt idx="8">
                  <c:v>485.0</c:v>
                </c:pt>
                <c:pt idx="9" formatCode="#,##0">
                  <c:v>2102.0</c:v>
                </c:pt>
              </c:numCache>
            </c:numRef>
          </c:val>
        </c:ser>
        <c:ser>
          <c:idx val="1"/>
          <c:order val="1"/>
          <c:tx>
            <c:strRef>
              <c:f>Sheet3!$C$1</c:f>
              <c:strCache>
                <c:ptCount val="1"/>
                <c:pt idx="0">
                  <c:v>Stevens County </c:v>
                </c:pt>
              </c:strCache>
            </c:strRef>
          </c:tx>
          <c:invertIfNegative val="0"/>
          <c:cat>
            <c:strRef>
              <c:f>Sheet3!$A$2:$A$11</c:f>
              <c:strCache>
                <c:ptCount val="10"/>
                <c:pt idx="0">
                  <c:v> 2005 or later</c:v>
                </c:pt>
                <c:pt idx="1">
                  <c:v> 2000 to 2004</c:v>
                </c:pt>
                <c:pt idx="2">
                  <c:v> 1990 to 1999</c:v>
                </c:pt>
                <c:pt idx="3">
                  <c:v>1980 to 1989</c:v>
                </c:pt>
                <c:pt idx="4">
                  <c:v>1970 to 1979</c:v>
                </c:pt>
                <c:pt idx="5">
                  <c:v>1960 to 1969</c:v>
                </c:pt>
                <c:pt idx="6">
                  <c:v> 1950 to 1959</c:v>
                </c:pt>
                <c:pt idx="7">
                  <c:v>1940 to 1949</c:v>
                </c:pt>
                <c:pt idx="8">
                  <c:v> 1939 or earlier</c:v>
                </c:pt>
                <c:pt idx="9">
                  <c:v>Total</c:v>
                </c:pt>
              </c:strCache>
            </c:strRef>
          </c:cat>
          <c:val>
            <c:numRef>
              <c:f>Sheet3!$C$2:$C$11</c:f>
              <c:numCache>
                <c:formatCode>General</c:formatCode>
                <c:ptCount val="10"/>
                <c:pt idx="0">
                  <c:v>103.0</c:v>
                </c:pt>
                <c:pt idx="1">
                  <c:v>156.0</c:v>
                </c:pt>
                <c:pt idx="2">
                  <c:v>445.0</c:v>
                </c:pt>
                <c:pt idx="3">
                  <c:v>411.0</c:v>
                </c:pt>
                <c:pt idx="4">
                  <c:v>459.0</c:v>
                </c:pt>
                <c:pt idx="5">
                  <c:v>527.0</c:v>
                </c:pt>
                <c:pt idx="6">
                  <c:v>510.0</c:v>
                </c:pt>
                <c:pt idx="7">
                  <c:v>359.0</c:v>
                </c:pt>
                <c:pt idx="8" formatCode="#,##0">
                  <c:v>1175.0</c:v>
                </c:pt>
                <c:pt idx="9" formatCode="#,##0">
                  <c:v>4145.0</c:v>
                </c:pt>
              </c:numCache>
            </c:numRef>
          </c:val>
        </c:ser>
        <c:dLbls>
          <c:showLegendKey val="0"/>
          <c:showVal val="0"/>
          <c:showCatName val="0"/>
          <c:showSerName val="0"/>
          <c:showPercent val="0"/>
          <c:showBubbleSize val="0"/>
        </c:dLbls>
        <c:gapWidth val="150"/>
        <c:axId val="516988952"/>
        <c:axId val="670087928"/>
      </c:barChart>
      <c:catAx>
        <c:axId val="516988952"/>
        <c:scaling>
          <c:orientation val="minMax"/>
        </c:scaling>
        <c:delete val="0"/>
        <c:axPos val="b"/>
        <c:title>
          <c:tx>
            <c:rich>
              <a:bodyPr/>
              <a:lstStyle/>
              <a:p>
                <a:pPr>
                  <a:defRPr/>
                </a:pPr>
                <a:r>
                  <a:rPr lang="en-US" sz="1000" b="1" i="0" baseline="0">
                    <a:effectLst/>
                  </a:rPr>
                  <a:t>Year Sturcture was Built</a:t>
                </a:r>
                <a:endParaRPr lang="en-US" sz="1000">
                  <a:effectLst/>
                </a:endParaRPr>
              </a:p>
            </c:rich>
          </c:tx>
          <c:layout/>
          <c:overlay val="0"/>
        </c:title>
        <c:majorTickMark val="none"/>
        <c:minorTickMark val="none"/>
        <c:tickLblPos val="nextTo"/>
        <c:crossAx val="670087928"/>
        <c:crosses val="autoZero"/>
        <c:auto val="1"/>
        <c:lblAlgn val="ctr"/>
        <c:lblOffset val="100"/>
        <c:noMultiLvlLbl val="0"/>
      </c:catAx>
      <c:valAx>
        <c:axId val="670087928"/>
        <c:scaling>
          <c:orientation val="minMax"/>
        </c:scaling>
        <c:delete val="0"/>
        <c:axPos val="l"/>
        <c:majorGridlines/>
        <c:title>
          <c:tx>
            <c:rich>
              <a:bodyPr/>
              <a:lstStyle/>
              <a:p>
                <a:pPr>
                  <a:defRPr/>
                </a:pPr>
                <a:r>
                  <a:rPr lang="en-US" sz="1000" b="1" i="0" baseline="0">
                    <a:effectLst/>
                  </a:rPr>
                  <a:t>Numver of Houses Built</a:t>
                </a:r>
                <a:endParaRPr lang="en-US" sz="1000">
                  <a:effectLst/>
                </a:endParaRPr>
              </a:p>
            </c:rich>
          </c:tx>
          <c:layout/>
          <c:overlay val="0"/>
        </c:title>
        <c:numFmt formatCode="General" sourceLinked="1"/>
        <c:majorTickMark val="out"/>
        <c:minorTickMark val="none"/>
        <c:tickLblPos val="nextTo"/>
        <c:crossAx val="5169889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Education in Morris City,</a:t>
            </a:r>
            <a:r>
              <a:rPr lang="en-US" baseline="0"/>
              <a:t> 2010</a:t>
            </a:r>
            <a:endParaRPr lang="en-US"/>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Sheet2!$A$34:$A$40</c:f>
              <c:strCache>
                <c:ptCount val="7"/>
                <c:pt idx="0">
                  <c:v>Less than 9th grade</c:v>
                </c:pt>
                <c:pt idx="1">
                  <c:v>9th to 12th grade, no diploma</c:v>
                </c:pt>
                <c:pt idx="2">
                  <c:v>High school graduate (includes equivalency)</c:v>
                </c:pt>
                <c:pt idx="3">
                  <c:v>Some college, no degree</c:v>
                </c:pt>
                <c:pt idx="4">
                  <c:v>Associate's degree</c:v>
                </c:pt>
                <c:pt idx="5">
                  <c:v>Bachelor's degree</c:v>
                </c:pt>
                <c:pt idx="6">
                  <c:v>Graduate or professional degree</c:v>
                </c:pt>
              </c:strCache>
            </c:strRef>
          </c:cat>
          <c:val>
            <c:numRef>
              <c:f>Sheet2!$B$34:$B$40</c:f>
              <c:numCache>
                <c:formatCode>General</c:formatCode>
                <c:ptCount val="7"/>
                <c:pt idx="0">
                  <c:v>242.0</c:v>
                </c:pt>
                <c:pt idx="1">
                  <c:v>76.0</c:v>
                </c:pt>
                <c:pt idx="2" formatCode="#,##0">
                  <c:v>1155.0</c:v>
                </c:pt>
                <c:pt idx="3">
                  <c:v>570.0</c:v>
                </c:pt>
                <c:pt idx="4">
                  <c:v>193.0</c:v>
                </c:pt>
                <c:pt idx="5">
                  <c:v>417.0</c:v>
                </c:pt>
                <c:pt idx="6">
                  <c:v>314.0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Morris</a:t>
            </a:r>
            <a:r>
              <a:rPr lang="en-US" baseline="0"/>
              <a:t> City Population</a:t>
            </a:r>
            <a:endParaRPr lang="en-US"/>
          </a:p>
        </c:rich>
      </c:tx>
      <c:layout/>
      <c:overlay val="0"/>
    </c:title>
    <c:autoTitleDeleted val="0"/>
    <c:plotArea>
      <c:layout/>
      <c:lineChart>
        <c:grouping val="standard"/>
        <c:varyColors val="0"/>
        <c:ser>
          <c:idx val="0"/>
          <c:order val="0"/>
          <c:marker>
            <c:symbol val="none"/>
          </c:marker>
          <c:cat>
            <c:strRef>
              <c:f>Sheet1!$A$2:$A$5</c:f>
              <c:strCache>
                <c:ptCount val="4"/>
                <c:pt idx="0">
                  <c:v>year: 1980</c:v>
                </c:pt>
                <c:pt idx="1">
                  <c:v>year: 1990</c:v>
                </c:pt>
                <c:pt idx="2">
                  <c:v>year: 2000</c:v>
                </c:pt>
                <c:pt idx="3">
                  <c:v>year: 2010</c:v>
                </c:pt>
              </c:strCache>
            </c:strRef>
          </c:cat>
          <c:val>
            <c:numRef>
              <c:f>Sheet1!$B$2:$B$5</c:f>
              <c:numCache>
                <c:formatCode>General</c:formatCode>
                <c:ptCount val="4"/>
                <c:pt idx="0">
                  <c:v>5367.0</c:v>
                </c:pt>
                <c:pt idx="1">
                  <c:v>5613.0</c:v>
                </c:pt>
                <c:pt idx="2">
                  <c:v>5068.0</c:v>
                </c:pt>
                <c:pt idx="3">
                  <c:v>5286.0</c:v>
                </c:pt>
              </c:numCache>
            </c:numRef>
          </c:val>
          <c:smooth val="0"/>
        </c:ser>
        <c:dLbls>
          <c:showLegendKey val="0"/>
          <c:showVal val="0"/>
          <c:showCatName val="0"/>
          <c:showSerName val="0"/>
          <c:showPercent val="0"/>
          <c:showBubbleSize val="0"/>
        </c:dLbls>
        <c:marker val="1"/>
        <c:smooth val="0"/>
        <c:axId val="493312440"/>
        <c:axId val="565237464"/>
      </c:lineChart>
      <c:catAx>
        <c:axId val="493312440"/>
        <c:scaling>
          <c:orientation val="minMax"/>
        </c:scaling>
        <c:delete val="0"/>
        <c:axPos val="b"/>
        <c:majorTickMark val="none"/>
        <c:minorTickMark val="none"/>
        <c:tickLblPos val="nextTo"/>
        <c:crossAx val="565237464"/>
        <c:crosses val="autoZero"/>
        <c:auto val="1"/>
        <c:lblAlgn val="ctr"/>
        <c:lblOffset val="100"/>
        <c:noMultiLvlLbl val="0"/>
      </c:catAx>
      <c:valAx>
        <c:axId val="565237464"/>
        <c:scaling>
          <c:orientation val="minMax"/>
        </c:scaling>
        <c:delete val="0"/>
        <c:axPos val="l"/>
        <c:majorGridlines/>
        <c:title>
          <c:tx>
            <c:rich>
              <a:bodyPr/>
              <a:lstStyle/>
              <a:p>
                <a:pPr>
                  <a:defRPr/>
                </a:pPr>
                <a:r>
                  <a:rPr lang="en-US"/>
                  <a:t>Population</a:t>
                </a:r>
              </a:p>
            </c:rich>
          </c:tx>
          <c:layout/>
          <c:overlay val="0"/>
        </c:title>
        <c:numFmt formatCode="General" sourceLinked="1"/>
        <c:majorTickMark val="none"/>
        <c:minorTickMark val="none"/>
        <c:tickLblPos val="nextTo"/>
        <c:crossAx val="4933124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Population Pyramid</a:t>
            </a:r>
            <a:r>
              <a:rPr lang="en-US" baseline="0"/>
              <a:t> for Morris City, 2010</a:t>
            </a:r>
            <a:endParaRPr lang="en-US"/>
          </a:p>
        </c:rich>
      </c:tx>
      <c:layout/>
      <c:overlay val="0"/>
    </c:title>
    <c:autoTitleDeleted val="0"/>
    <c:plotArea>
      <c:layout/>
      <c:barChart>
        <c:barDir val="bar"/>
        <c:grouping val="clustered"/>
        <c:varyColors val="0"/>
        <c:ser>
          <c:idx val="0"/>
          <c:order val="0"/>
          <c:tx>
            <c:strRef>
              <c:f>'Population Morris 2010.csv'!$E$1</c:f>
              <c:strCache>
                <c:ptCount val="1"/>
                <c:pt idx="0">
                  <c:v>% male</c:v>
                </c:pt>
              </c:strCache>
            </c:strRef>
          </c:tx>
          <c:invertIfNegative val="0"/>
          <c:dLbls>
            <c:showLegendKey val="0"/>
            <c:showVal val="1"/>
            <c:showCatName val="0"/>
            <c:showSerName val="0"/>
            <c:showPercent val="0"/>
            <c:showBubbleSize val="0"/>
            <c:showLeaderLines val="0"/>
          </c:dLbls>
          <c:cat>
            <c:strRef>
              <c:f>'Population Morris 2010.csv'!$A$2:$A$19</c:f>
              <c:strCache>
                <c:ptCount val="18"/>
                <c:pt idx="0">
                  <c:v>    Under 5 years</c:v>
                </c:pt>
                <c:pt idx="1">
                  <c:v>    5 to 9 years</c:v>
                </c:pt>
                <c:pt idx="2">
                  <c:v>    10 to 14 years</c:v>
                </c:pt>
                <c:pt idx="3">
                  <c:v>    15 to 19 years</c:v>
                </c:pt>
                <c:pt idx="4">
                  <c:v>    20 to 24 years</c:v>
                </c:pt>
                <c:pt idx="5">
                  <c:v>    25 to 29 years</c:v>
                </c:pt>
                <c:pt idx="6">
                  <c:v>    30 to 34 years</c:v>
                </c:pt>
                <c:pt idx="7">
                  <c:v>    35 to 39 years</c:v>
                </c:pt>
                <c:pt idx="8">
                  <c:v>    40 to 44 years</c:v>
                </c:pt>
                <c:pt idx="9">
                  <c:v>    45 to 49 years</c:v>
                </c:pt>
                <c:pt idx="10">
                  <c:v>    50 to 54 years</c:v>
                </c:pt>
                <c:pt idx="11">
                  <c:v>    55 to 59 years</c:v>
                </c:pt>
                <c:pt idx="12">
                  <c:v>    60 to 64 years</c:v>
                </c:pt>
                <c:pt idx="13">
                  <c:v>    65 to 69 years</c:v>
                </c:pt>
                <c:pt idx="14">
                  <c:v>    70 to 74 years</c:v>
                </c:pt>
                <c:pt idx="15">
                  <c:v>    75 to 79 years</c:v>
                </c:pt>
                <c:pt idx="16">
                  <c:v>    80 to 84 years</c:v>
                </c:pt>
                <c:pt idx="17">
                  <c:v>    85 years and over</c:v>
                </c:pt>
              </c:strCache>
            </c:strRef>
          </c:cat>
          <c:val>
            <c:numRef>
              <c:f>'Population Morris 2010.csv'!$E$2:$E$19</c:f>
              <c:numCache>
                <c:formatCode>0.0</c:formatCode>
                <c:ptCount val="18"/>
                <c:pt idx="0">
                  <c:v>-2.875520242149073</c:v>
                </c:pt>
                <c:pt idx="1">
                  <c:v>-2.402572833900856</c:v>
                </c:pt>
                <c:pt idx="2">
                  <c:v>-2.345819144911085</c:v>
                </c:pt>
                <c:pt idx="3">
                  <c:v>-6.053726825576986</c:v>
                </c:pt>
                <c:pt idx="4">
                  <c:v>-9.440030268634128</c:v>
                </c:pt>
                <c:pt idx="5">
                  <c:v>-2.762012864169504</c:v>
                </c:pt>
                <c:pt idx="6">
                  <c:v>-2.345819144911085</c:v>
                </c:pt>
                <c:pt idx="7">
                  <c:v>-1.91070752932274</c:v>
                </c:pt>
                <c:pt idx="8">
                  <c:v>-1.664774877033674</c:v>
                </c:pt>
                <c:pt idx="9">
                  <c:v>-2.30798335225123</c:v>
                </c:pt>
                <c:pt idx="10">
                  <c:v>-2.478244419220577</c:v>
                </c:pt>
                <c:pt idx="11">
                  <c:v>-2.251229663261446</c:v>
                </c:pt>
                <c:pt idx="12">
                  <c:v>-1.778282255013243</c:v>
                </c:pt>
                <c:pt idx="13">
                  <c:v>-1.097237987135831</c:v>
                </c:pt>
                <c:pt idx="14">
                  <c:v>-1.00264850548619</c:v>
                </c:pt>
                <c:pt idx="15">
                  <c:v>-1.191827468785471</c:v>
                </c:pt>
                <c:pt idx="16">
                  <c:v>-1.078320090805902</c:v>
                </c:pt>
                <c:pt idx="17">
                  <c:v>-1.589103291713961</c:v>
                </c:pt>
              </c:numCache>
            </c:numRef>
          </c:val>
        </c:ser>
        <c:ser>
          <c:idx val="1"/>
          <c:order val="1"/>
          <c:tx>
            <c:strRef>
              <c:f>'Population Morris 2010.csv'!$F$1</c:f>
              <c:strCache>
                <c:ptCount val="1"/>
                <c:pt idx="0">
                  <c:v>% female</c:v>
                </c:pt>
              </c:strCache>
            </c:strRef>
          </c:tx>
          <c:invertIfNegative val="0"/>
          <c:dLbls>
            <c:showLegendKey val="0"/>
            <c:showVal val="1"/>
            <c:showCatName val="0"/>
            <c:showSerName val="0"/>
            <c:showPercent val="0"/>
            <c:showBubbleSize val="0"/>
            <c:showLeaderLines val="0"/>
          </c:dLbls>
          <c:cat>
            <c:strRef>
              <c:f>'Population Morris 2010.csv'!$A$2:$A$19</c:f>
              <c:strCache>
                <c:ptCount val="18"/>
                <c:pt idx="0">
                  <c:v>    Under 5 years</c:v>
                </c:pt>
                <c:pt idx="1">
                  <c:v>    5 to 9 years</c:v>
                </c:pt>
                <c:pt idx="2">
                  <c:v>    10 to 14 years</c:v>
                </c:pt>
                <c:pt idx="3">
                  <c:v>    15 to 19 years</c:v>
                </c:pt>
                <c:pt idx="4">
                  <c:v>    20 to 24 years</c:v>
                </c:pt>
                <c:pt idx="5">
                  <c:v>    25 to 29 years</c:v>
                </c:pt>
                <c:pt idx="6">
                  <c:v>    30 to 34 years</c:v>
                </c:pt>
                <c:pt idx="7">
                  <c:v>    35 to 39 years</c:v>
                </c:pt>
                <c:pt idx="8">
                  <c:v>    40 to 44 years</c:v>
                </c:pt>
                <c:pt idx="9">
                  <c:v>    45 to 49 years</c:v>
                </c:pt>
                <c:pt idx="10">
                  <c:v>    50 to 54 years</c:v>
                </c:pt>
                <c:pt idx="11">
                  <c:v>    55 to 59 years</c:v>
                </c:pt>
                <c:pt idx="12">
                  <c:v>    60 to 64 years</c:v>
                </c:pt>
                <c:pt idx="13">
                  <c:v>    65 to 69 years</c:v>
                </c:pt>
                <c:pt idx="14">
                  <c:v>    70 to 74 years</c:v>
                </c:pt>
                <c:pt idx="15">
                  <c:v>    75 to 79 years</c:v>
                </c:pt>
                <c:pt idx="16">
                  <c:v>    80 to 84 years</c:v>
                </c:pt>
                <c:pt idx="17">
                  <c:v>    85 years and over</c:v>
                </c:pt>
              </c:strCache>
            </c:strRef>
          </c:cat>
          <c:val>
            <c:numRef>
              <c:f>'Population Morris 2010.csv'!$F$2:$F$19</c:f>
              <c:numCache>
                <c:formatCode>0.0</c:formatCode>
                <c:ptCount val="18"/>
                <c:pt idx="0">
                  <c:v>2.875520242149073</c:v>
                </c:pt>
                <c:pt idx="1">
                  <c:v>2.364737041241013</c:v>
                </c:pt>
                <c:pt idx="2">
                  <c:v>2.21339387060159</c:v>
                </c:pt>
                <c:pt idx="3">
                  <c:v>7.359061672342034</c:v>
                </c:pt>
                <c:pt idx="4">
                  <c:v>10.4237608777904</c:v>
                </c:pt>
                <c:pt idx="5">
                  <c:v>2.421490730230798</c:v>
                </c:pt>
                <c:pt idx="6">
                  <c:v>2.440408626560727</c:v>
                </c:pt>
                <c:pt idx="7">
                  <c:v>1.8161180476731</c:v>
                </c:pt>
                <c:pt idx="8">
                  <c:v>2.062050699962163</c:v>
                </c:pt>
                <c:pt idx="9">
                  <c:v>2.194475974271659</c:v>
                </c:pt>
                <c:pt idx="10">
                  <c:v>2.762012864169504</c:v>
                </c:pt>
                <c:pt idx="11">
                  <c:v>2.478244419220577</c:v>
                </c:pt>
                <c:pt idx="12">
                  <c:v>1.891789632992811</c:v>
                </c:pt>
                <c:pt idx="13">
                  <c:v>1.589103291713961</c:v>
                </c:pt>
                <c:pt idx="14">
                  <c:v>1.229663261445327</c:v>
                </c:pt>
                <c:pt idx="15">
                  <c:v>1.986379114642452</c:v>
                </c:pt>
                <c:pt idx="16">
                  <c:v>2.156640181611797</c:v>
                </c:pt>
                <c:pt idx="17">
                  <c:v>3.159288687097995</c:v>
                </c:pt>
              </c:numCache>
            </c:numRef>
          </c:val>
        </c:ser>
        <c:dLbls>
          <c:showLegendKey val="0"/>
          <c:showVal val="0"/>
          <c:showCatName val="0"/>
          <c:showSerName val="0"/>
          <c:showPercent val="0"/>
          <c:showBubbleSize val="0"/>
        </c:dLbls>
        <c:gapWidth val="0"/>
        <c:overlap val="100"/>
        <c:axId val="565816488"/>
        <c:axId val="539063704"/>
      </c:barChart>
      <c:catAx>
        <c:axId val="565816488"/>
        <c:scaling>
          <c:orientation val="maxMin"/>
        </c:scaling>
        <c:delete val="0"/>
        <c:axPos val="l"/>
        <c:title>
          <c:tx>
            <c:rich>
              <a:bodyPr/>
              <a:lstStyle/>
              <a:p>
                <a:pPr>
                  <a:defRPr/>
                </a:pPr>
                <a:r>
                  <a:rPr lang="en-US"/>
                  <a:t>Age</a:t>
                </a:r>
                <a:r>
                  <a:rPr lang="en-US" baseline="0"/>
                  <a:t> Class</a:t>
                </a:r>
                <a:endParaRPr lang="en-US"/>
              </a:p>
            </c:rich>
          </c:tx>
          <c:layout/>
          <c:overlay val="0"/>
        </c:title>
        <c:majorTickMark val="cross"/>
        <c:minorTickMark val="cross"/>
        <c:tickLblPos val="low"/>
        <c:crossAx val="539063704"/>
        <c:crosses val="autoZero"/>
        <c:auto val="1"/>
        <c:lblAlgn val="ctr"/>
        <c:lblOffset val="100"/>
        <c:tickLblSkip val="1"/>
        <c:noMultiLvlLbl val="0"/>
      </c:catAx>
      <c:valAx>
        <c:axId val="539063704"/>
        <c:scaling>
          <c:orientation val="minMax"/>
        </c:scaling>
        <c:delete val="0"/>
        <c:axPos val="b"/>
        <c:title>
          <c:tx>
            <c:rich>
              <a:bodyPr/>
              <a:lstStyle/>
              <a:p>
                <a:pPr>
                  <a:defRPr/>
                </a:pPr>
                <a:r>
                  <a:rPr lang="en-US"/>
                  <a:t>Percent</a:t>
                </a:r>
                <a:r>
                  <a:rPr lang="en-US" baseline="0"/>
                  <a:t> of Total Population</a:t>
                </a:r>
                <a:endParaRPr lang="en-US"/>
              </a:p>
            </c:rich>
          </c:tx>
          <c:layout>
            <c:manualLayout>
              <c:xMode val="edge"/>
              <c:yMode val="edge"/>
              <c:x val="0.390312860892388"/>
              <c:y val="0.930080432224832"/>
            </c:manualLayout>
          </c:layout>
          <c:overlay val="0"/>
        </c:title>
        <c:numFmt formatCode="_(* #,##0.00_);_(* \(#,##0.00\);_(* &quot;-&quot;??_);_(@_)" sourceLinked="0"/>
        <c:majorTickMark val="out"/>
        <c:minorTickMark val="none"/>
        <c:tickLblPos val="nextTo"/>
        <c:crossAx val="565816488"/>
        <c:crosses val="max"/>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Race</a:t>
            </a:r>
            <a:r>
              <a:rPr lang="en-US" baseline="0"/>
              <a:t> in Morris City , 2000 and 2010</a:t>
            </a:r>
            <a:endParaRPr lang="en-US"/>
          </a:p>
        </c:rich>
      </c:tx>
      <c:layout/>
      <c:overlay val="0"/>
    </c:title>
    <c:autoTitleDeleted val="0"/>
    <c:plotArea>
      <c:layout/>
      <c:barChart>
        <c:barDir val="col"/>
        <c:grouping val="clustered"/>
        <c:varyColors val="0"/>
        <c:ser>
          <c:idx val="0"/>
          <c:order val="0"/>
          <c:tx>
            <c:strRef>
              <c:f>Sheet1!$B$1</c:f>
              <c:strCache>
                <c:ptCount val="1"/>
                <c:pt idx="0">
                  <c:v>year: 2000</c:v>
                </c:pt>
              </c:strCache>
            </c:strRef>
          </c:tx>
          <c:invertIfNegative val="0"/>
          <c:cat>
            <c:strRef>
              <c:f>Sheet1!$A$2:$A$6</c:f>
              <c:strCache>
                <c:ptCount val="5"/>
                <c:pt idx="0">
                  <c:v>White</c:v>
                </c:pt>
                <c:pt idx="1">
                  <c:v>Black or African American</c:v>
                </c:pt>
                <c:pt idx="2">
                  <c:v>American Indian and Alaska Native</c:v>
                </c:pt>
                <c:pt idx="3">
                  <c:v>Asian</c:v>
                </c:pt>
                <c:pt idx="4">
                  <c:v>Hispanic or Latino</c:v>
                </c:pt>
              </c:strCache>
            </c:strRef>
          </c:cat>
          <c:val>
            <c:numRef>
              <c:f>Sheet1!$B$2:$B$6</c:f>
              <c:numCache>
                <c:formatCode>General</c:formatCode>
                <c:ptCount val="5"/>
                <c:pt idx="0">
                  <c:v>4745.0</c:v>
                </c:pt>
                <c:pt idx="1">
                  <c:v>89.0</c:v>
                </c:pt>
                <c:pt idx="2">
                  <c:v>62.0</c:v>
                </c:pt>
                <c:pt idx="3">
                  <c:v>78.0</c:v>
                </c:pt>
                <c:pt idx="4">
                  <c:v>75.0</c:v>
                </c:pt>
              </c:numCache>
            </c:numRef>
          </c:val>
        </c:ser>
        <c:ser>
          <c:idx val="1"/>
          <c:order val="1"/>
          <c:tx>
            <c:strRef>
              <c:f>Sheet1!$C$1</c:f>
              <c:strCache>
                <c:ptCount val="1"/>
                <c:pt idx="0">
                  <c:v>year: 2010</c:v>
                </c:pt>
              </c:strCache>
            </c:strRef>
          </c:tx>
          <c:invertIfNegative val="0"/>
          <c:cat>
            <c:strRef>
              <c:f>Sheet1!$A$2:$A$6</c:f>
              <c:strCache>
                <c:ptCount val="5"/>
                <c:pt idx="0">
                  <c:v>White</c:v>
                </c:pt>
                <c:pt idx="1">
                  <c:v>Black or African American</c:v>
                </c:pt>
                <c:pt idx="2">
                  <c:v>American Indian and Alaska Native</c:v>
                </c:pt>
                <c:pt idx="3">
                  <c:v>Asian</c:v>
                </c:pt>
                <c:pt idx="4">
                  <c:v>Hispanic or Latino</c:v>
                </c:pt>
              </c:strCache>
            </c:strRef>
          </c:cat>
          <c:val>
            <c:numRef>
              <c:f>Sheet1!$C$2:$C$6</c:f>
              <c:numCache>
                <c:formatCode>General</c:formatCode>
                <c:ptCount val="5"/>
                <c:pt idx="0">
                  <c:v>4806.0</c:v>
                </c:pt>
                <c:pt idx="1">
                  <c:v>71.0</c:v>
                </c:pt>
                <c:pt idx="2">
                  <c:v>77.0</c:v>
                </c:pt>
                <c:pt idx="3">
                  <c:v>133.0</c:v>
                </c:pt>
                <c:pt idx="4">
                  <c:v>171.0</c:v>
                </c:pt>
              </c:numCache>
            </c:numRef>
          </c:val>
        </c:ser>
        <c:dLbls>
          <c:showLegendKey val="0"/>
          <c:showVal val="0"/>
          <c:showCatName val="0"/>
          <c:showSerName val="0"/>
          <c:showPercent val="0"/>
          <c:showBubbleSize val="0"/>
        </c:dLbls>
        <c:gapWidth val="150"/>
        <c:axId val="532160104"/>
        <c:axId val="599122664"/>
      </c:barChart>
      <c:catAx>
        <c:axId val="532160104"/>
        <c:scaling>
          <c:orientation val="minMax"/>
        </c:scaling>
        <c:delete val="0"/>
        <c:axPos val="b"/>
        <c:majorTickMark val="none"/>
        <c:minorTickMark val="none"/>
        <c:tickLblPos val="nextTo"/>
        <c:crossAx val="599122664"/>
        <c:crosses val="autoZero"/>
        <c:auto val="1"/>
        <c:lblAlgn val="ctr"/>
        <c:lblOffset val="100"/>
        <c:noMultiLvlLbl val="0"/>
      </c:catAx>
      <c:valAx>
        <c:axId val="599122664"/>
        <c:scaling>
          <c:orientation val="minMax"/>
        </c:scaling>
        <c:delete val="0"/>
        <c:axPos val="l"/>
        <c:majorGridlines/>
        <c:numFmt formatCode="General" sourceLinked="1"/>
        <c:majorTickMark val="none"/>
        <c:minorTickMark val="none"/>
        <c:tickLblPos val="nextTo"/>
        <c:crossAx val="5321601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Minority in Morris City, 2000 and 2010</a:t>
            </a:r>
            <a:endParaRPr lang="en-US"/>
          </a:p>
        </c:rich>
      </c:tx>
      <c:layout/>
      <c:overlay val="0"/>
    </c:title>
    <c:autoTitleDeleted val="0"/>
    <c:plotArea>
      <c:layout/>
      <c:barChart>
        <c:barDir val="col"/>
        <c:grouping val="clustered"/>
        <c:varyColors val="0"/>
        <c:ser>
          <c:idx val="0"/>
          <c:order val="0"/>
          <c:tx>
            <c:strRef>
              <c:f>Sheet1!$B$9</c:f>
              <c:strCache>
                <c:ptCount val="1"/>
                <c:pt idx="0">
                  <c:v>year: 2000</c:v>
                </c:pt>
              </c:strCache>
            </c:strRef>
          </c:tx>
          <c:invertIfNegative val="0"/>
          <c:cat>
            <c:strRef>
              <c:f>Sheet1!$A$10:$A$13</c:f>
              <c:strCache>
                <c:ptCount val="4"/>
                <c:pt idx="0">
                  <c:v>Black or African American</c:v>
                </c:pt>
                <c:pt idx="1">
                  <c:v>American Indian and Alaska Native</c:v>
                </c:pt>
                <c:pt idx="2">
                  <c:v>Asian</c:v>
                </c:pt>
                <c:pt idx="3">
                  <c:v>Hispanic or Latino</c:v>
                </c:pt>
              </c:strCache>
            </c:strRef>
          </c:cat>
          <c:val>
            <c:numRef>
              <c:f>Sheet1!$B$10:$B$13</c:f>
              <c:numCache>
                <c:formatCode>General</c:formatCode>
                <c:ptCount val="4"/>
                <c:pt idx="0">
                  <c:v>89.0</c:v>
                </c:pt>
                <c:pt idx="1">
                  <c:v>62.0</c:v>
                </c:pt>
                <c:pt idx="2">
                  <c:v>78.0</c:v>
                </c:pt>
                <c:pt idx="3">
                  <c:v>75.0</c:v>
                </c:pt>
              </c:numCache>
            </c:numRef>
          </c:val>
        </c:ser>
        <c:ser>
          <c:idx val="1"/>
          <c:order val="1"/>
          <c:tx>
            <c:strRef>
              <c:f>Sheet1!$C$9</c:f>
              <c:strCache>
                <c:ptCount val="1"/>
                <c:pt idx="0">
                  <c:v>year: 2010</c:v>
                </c:pt>
              </c:strCache>
            </c:strRef>
          </c:tx>
          <c:invertIfNegative val="0"/>
          <c:cat>
            <c:strRef>
              <c:f>Sheet1!$A$10:$A$13</c:f>
              <c:strCache>
                <c:ptCount val="4"/>
                <c:pt idx="0">
                  <c:v>Black or African American</c:v>
                </c:pt>
                <c:pt idx="1">
                  <c:v>American Indian and Alaska Native</c:v>
                </c:pt>
                <c:pt idx="2">
                  <c:v>Asian</c:v>
                </c:pt>
                <c:pt idx="3">
                  <c:v>Hispanic or Latino</c:v>
                </c:pt>
              </c:strCache>
            </c:strRef>
          </c:cat>
          <c:val>
            <c:numRef>
              <c:f>Sheet1!$C$10:$C$13</c:f>
              <c:numCache>
                <c:formatCode>General</c:formatCode>
                <c:ptCount val="4"/>
                <c:pt idx="0">
                  <c:v>71.0</c:v>
                </c:pt>
                <c:pt idx="1">
                  <c:v>77.0</c:v>
                </c:pt>
                <c:pt idx="2">
                  <c:v>133.0</c:v>
                </c:pt>
                <c:pt idx="3">
                  <c:v>171.0</c:v>
                </c:pt>
              </c:numCache>
            </c:numRef>
          </c:val>
        </c:ser>
        <c:dLbls>
          <c:showLegendKey val="0"/>
          <c:showVal val="0"/>
          <c:showCatName val="0"/>
          <c:showSerName val="0"/>
          <c:showPercent val="0"/>
          <c:showBubbleSize val="0"/>
        </c:dLbls>
        <c:gapWidth val="150"/>
        <c:axId val="611687336"/>
        <c:axId val="447349768"/>
      </c:barChart>
      <c:catAx>
        <c:axId val="611687336"/>
        <c:scaling>
          <c:orientation val="minMax"/>
        </c:scaling>
        <c:delete val="0"/>
        <c:axPos val="b"/>
        <c:majorTickMark val="none"/>
        <c:minorTickMark val="none"/>
        <c:tickLblPos val="nextTo"/>
        <c:crossAx val="447349768"/>
        <c:crosses val="autoZero"/>
        <c:auto val="1"/>
        <c:lblAlgn val="ctr"/>
        <c:lblOffset val="100"/>
        <c:noMultiLvlLbl val="0"/>
      </c:catAx>
      <c:valAx>
        <c:axId val="447349768"/>
        <c:scaling>
          <c:orientation val="minMax"/>
        </c:scaling>
        <c:delete val="0"/>
        <c:axPos val="l"/>
        <c:majorGridlines/>
        <c:numFmt formatCode="General" sourceLinked="1"/>
        <c:majorTickMark val="none"/>
        <c:minorTickMark val="none"/>
        <c:tickLblPos val="nextTo"/>
        <c:crossAx val="6116873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hart>
    <c:title>
      <c:tx>
        <c:rich>
          <a:bodyPr/>
          <a:lstStyle/>
          <a:p>
            <a:pPr>
              <a:defRPr/>
            </a:pPr>
            <a:r>
              <a:rPr lang="en-US"/>
              <a:t>Median Household Income</a:t>
            </a:r>
            <a:r>
              <a:rPr lang="en-US" baseline="0"/>
              <a:t> in Morris Area, 2010</a:t>
            </a:r>
            <a:endParaRPr lang="en-US"/>
          </a:p>
        </c:rich>
      </c:tx>
      <c:layout/>
      <c:overlay val="0"/>
    </c:title>
    <c:autoTitleDeleted val="0"/>
    <c:plotArea>
      <c:layout/>
      <c:barChart>
        <c:barDir val="col"/>
        <c:grouping val="clustered"/>
        <c:varyColors val="0"/>
        <c:ser>
          <c:idx val="0"/>
          <c:order val="0"/>
          <c:tx>
            <c:strRef>
              <c:f>Sheet2!$B$1</c:f>
              <c:strCache>
                <c:ptCount val="1"/>
                <c:pt idx="0">
                  <c:v>Median Household Income</c:v>
                </c:pt>
              </c:strCache>
            </c:strRef>
          </c:tx>
          <c:invertIfNegative val="0"/>
          <c:cat>
            <c:strRef>
              <c:f>Sheet2!$A$2:$A$6</c:f>
              <c:strCache>
                <c:ptCount val="5"/>
                <c:pt idx="0">
                  <c:v>Morris</c:v>
                </c:pt>
                <c:pt idx="1">
                  <c:v>Hancock</c:v>
                </c:pt>
                <c:pt idx="2">
                  <c:v>Chokio</c:v>
                </c:pt>
                <c:pt idx="3">
                  <c:v>Donnelly</c:v>
                </c:pt>
                <c:pt idx="4">
                  <c:v>Alberta</c:v>
                </c:pt>
              </c:strCache>
            </c:strRef>
          </c:cat>
          <c:val>
            <c:numRef>
              <c:f>Sheet2!$B$2:$B$6</c:f>
              <c:numCache>
                <c:formatCode>"$"#,##0_);[Red]\("$"#,##0\)</c:formatCode>
                <c:ptCount val="5"/>
                <c:pt idx="0">
                  <c:v>38511.0</c:v>
                </c:pt>
                <c:pt idx="1">
                  <c:v>40547.0</c:v>
                </c:pt>
                <c:pt idx="2">
                  <c:v>41563.0</c:v>
                </c:pt>
                <c:pt idx="3">
                  <c:v>35625.0</c:v>
                </c:pt>
                <c:pt idx="4">
                  <c:v>37750.0</c:v>
                </c:pt>
              </c:numCache>
            </c:numRef>
          </c:val>
        </c:ser>
        <c:dLbls>
          <c:showLegendKey val="0"/>
          <c:showVal val="0"/>
          <c:showCatName val="0"/>
          <c:showSerName val="0"/>
          <c:showPercent val="0"/>
          <c:showBubbleSize val="0"/>
        </c:dLbls>
        <c:gapWidth val="150"/>
        <c:axId val="565944280"/>
        <c:axId val="493395560"/>
      </c:barChart>
      <c:catAx>
        <c:axId val="565944280"/>
        <c:scaling>
          <c:orientation val="minMax"/>
        </c:scaling>
        <c:delete val="0"/>
        <c:axPos val="b"/>
        <c:title>
          <c:tx>
            <c:rich>
              <a:bodyPr/>
              <a:lstStyle/>
              <a:p>
                <a:pPr>
                  <a:defRPr/>
                </a:pPr>
                <a:r>
                  <a:rPr lang="en-US"/>
                  <a:t>Cities</a:t>
                </a:r>
              </a:p>
            </c:rich>
          </c:tx>
          <c:layout/>
          <c:overlay val="0"/>
        </c:title>
        <c:majorTickMark val="none"/>
        <c:minorTickMark val="none"/>
        <c:tickLblPos val="nextTo"/>
        <c:crossAx val="493395560"/>
        <c:crosses val="autoZero"/>
        <c:auto val="1"/>
        <c:lblAlgn val="ctr"/>
        <c:lblOffset val="100"/>
        <c:noMultiLvlLbl val="0"/>
      </c:catAx>
      <c:valAx>
        <c:axId val="493395560"/>
        <c:scaling>
          <c:orientation val="minMax"/>
        </c:scaling>
        <c:delete val="0"/>
        <c:axPos val="l"/>
        <c:majorGridlines/>
        <c:title>
          <c:tx>
            <c:rich>
              <a:bodyPr/>
              <a:lstStyle/>
              <a:p>
                <a:pPr>
                  <a:defRPr/>
                </a:pPr>
                <a:r>
                  <a:rPr lang="en-US"/>
                  <a:t>Median Income</a:t>
                </a:r>
              </a:p>
            </c:rich>
          </c:tx>
          <c:layout/>
          <c:overlay val="0"/>
        </c:title>
        <c:numFmt formatCode="&quot;$&quot;#,##0_);[Red]\(&quot;$&quot;#,##0\)" sourceLinked="1"/>
        <c:majorTickMark val="out"/>
        <c:minorTickMark val="none"/>
        <c:tickLblPos val="nextTo"/>
        <c:crossAx val="5659442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Household</a:t>
            </a:r>
            <a:r>
              <a:rPr lang="en-US" baseline="0"/>
              <a:t> Income in Morris City in 2010</a:t>
            </a:r>
            <a:endParaRPr lang="en-US"/>
          </a:p>
        </c:rich>
      </c:tx>
      <c:layout>
        <c:manualLayout>
          <c:xMode val="edge"/>
          <c:yMode val="edge"/>
          <c:x val="0.112405150877053"/>
          <c:y val="0.011801730920535"/>
        </c:manualLayout>
      </c:layout>
      <c:overlay val="0"/>
    </c:title>
    <c:autoTitleDeleted val="0"/>
    <c:plotArea>
      <c:layout/>
      <c:barChart>
        <c:barDir val="col"/>
        <c:grouping val="clustered"/>
        <c:varyColors val="0"/>
        <c:ser>
          <c:idx val="0"/>
          <c:order val="0"/>
          <c:spPr>
            <a:effectLst>
              <a:outerShdw dist="12700" dir="5400000" sx="0" sy="0" rotWithShape="0">
                <a:srgbClr val="000000"/>
              </a:outerShdw>
            </a:effectLst>
          </c:spPr>
          <c:invertIfNegative val="0"/>
          <c:cat>
            <c:strRef>
              <c:f>Sheet7!$A$2:$A$11</c:f>
              <c:strCache>
                <c:ptCount val="10"/>
                <c:pt idx="0">
                  <c:v>Less than $10,000</c:v>
                </c:pt>
                <c:pt idx="1">
                  <c:v>$10,000 to $14,999</c:v>
                </c:pt>
                <c:pt idx="2">
                  <c:v>$15,000 to $24,999</c:v>
                </c:pt>
                <c:pt idx="3">
                  <c:v>$25,000 to $34,999</c:v>
                </c:pt>
                <c:pt idx="4">
                  <c:v>$35,000 to $49,999</c:v>
                </c:pt>
                <c:pt idx="5">
                  <c:v>$50,000 to $74,999</c:v>
                </c:pt>
                <c:pt idx="6">
                  <c:v>$75,000 to $99,999</c:v>
                </c:pt>
                <c:pt idx="7">
                  <c:v>$100,000 to$149,999</c:v>
                </c:pt>
                <c:pt idx="8">
                  <c:v>$150,000 to $199,999</c:v>
                </c:pt>
                <c:pt idx="9">
                  <c:v>$200,000 or more</c:v>
                </c:pt>
              </c:strCache>
            </c:strRef>
          </c:cat>
          <c:val>
            <c:numRef>
              <c:f>Sheet7!$B$2:$B$11</c:f>
              <c:numCache>
                <c:formatCode>General</c:formatCode>
                <c:ptCount val="10"/>
                <c:pt idx="0">
                  <c:v>258.0</c:v>
                </c:pt>
                <c:pt idx="1">
                  <c:v>121.0</c:v>
                </c:pt>
                <c:pt idx="2">
                  <c:v>301.0</c:v>
                </c:pt>
                <c:pt idx="3">
                  <c:v>237.0</c:v>
                </c:pt>
                <c:pt idx="4">
                  <c:v>222.0</c:v>
                </c:pt>
                <c:pt idx="5">
                  <c:v>307.0</c:v>
                </c:pt>
                <c:pt idx="6">
                  <c:v>206.0</c:v>
                </c:pt>
                <c:pt idx="7">
                  <c:v>203.0</c:v>
                </c:pt>
                <c:pt idx="8">
                  <c:v>39.0</c:v>
                </c:pt>
                <c:pt idx="9">
                  <c:v>37.0</c:v>
                </c:pt>
              </c:numCache>
            </c:numRef>
          </c:val>
        </c:ser>
        <c:dLbls>
          <c:showLegendKey val="0"/>
          <c:showVal val="0"/>
          <c:showCatName val="0"/>
          <c:showSerName val="0"/>
          <c:showPercent val="0"/>
          <c:showBubbleSize val="0"/>
        </c:dLbls>
        <c:gapWidth val="0"/>
        <c:axId val="595419800"/>
        <c:axId val="532075944"/>
      </c:barChart>
      <c:catAx>
        <c:axId val="595419800"/>
        <c:scaling>
          <c:orientation val="minMax"/>
        </c:scaling>
        <c:delete val="0"/>
        <c:axPos val="b"/>
        <c:title>
          <c:tx>
            <c:rich>
              <a:bodyPr/>
              <a:lstStyle/>
              <a:p>
                <a:pPr>
                  <a:defRPr/>
                </a:pPr>
                <a:r>
                  <a:rPr lang="en-US"/>
                  <a:t>Household</a:t>
                </a:r>
                <a:r>
                  <a:rPr lang="en-US" baseline="0"/>
                  <a:t> Income </a:t>
                </a:r>
                <a:endParaRPr lang="en-US"/>
              </a:p>
            </c:rich>
          </c:tx>
          <c:layout>
            <c:manualLayout>
              <c:xMode val="edge"/>
              <c:yMode val="edge"/>
              <c:x val="0.385312922396962"/>
              <c:y val="0.905228758169935"/>
            </c:manualLayout>
          </c:layout>
          <c:overlay val="0"/>
        </c:title>
        <c:majorTickMark val="none"/>
        <c:minorTickMark val="none"/>
        <c:tickLblPos val="nextTo"/>
        <c:crossAx val="532075944"/>
        <c:crosses val="autoZero"/>
        <c:auto val="1"/>
        <c:lblAlgn val="ctr"/>
        <c:lblOffset val="100"/>
        <c:noMultiLvlLbl val="0"/>
      </c:catAx>
      <c:valAx>
        <c:axId val="532075944"/>
        <c:scaling>
          <c:orientation val="minMax"/>
        </c:scaling>
        <c:delete val="0"/>
        <c:axPos val="l"/>
        <c:numFmt formatCode="General" sourceLinked="1"/>
        <c:majorTickMark val="out"/>
        <c:minorTickMark val="none"/>
        <c:tickLblPos val="nextTo"/>
        <c:crossAx val="59541980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Income of Origins For</a:t>
            </a:r>
            <a:r>
              <a:rPr lang="en-US" baseline="0"/>
              <a:t> Morris Households, 2000 and 2010</a:t>
            </a:r>
            <a:endParaRPr lang="en-US"/>
          </a:p>
        </c:rich>
      </c:tx>
      <c:layout/>
      <c:overlay val="0"/>
    </c:title>
    <c:autoTitleDeleted val="0"/>
    <c:plotArea>
      <c:layout/>
      <c:barChart>
        <c:barDir val="col"/>
        <c:grouping val="clustered"/>
        <c:varyColors val="0"/>
        <c:ser>
          <c:idx val="0"/>
          <c:order val="0"/>
          <c:tx>
            <c:strRef>
              <c:f>Sheet6!$B$1</c:f>
              <c:strCache>
                <c:ptCount val="1"/>
                <c:pt idx="0">
                  <c:v>year: 2000</c:v>
                </c:pt>
              </c:strCache>
            </c:strRef>
          </c:tx>
          <c:invertIfNegative val="0"/>
          <c:cat>
            <c:strRef>
              <c:f>Sheet6!$A$2:$A$6</c:f>
              <c:strCache>
                <c:ptCount val="5"/>
                <c:pt idx="0">
                  <c:v>Wages and Salary</c:v>
                </c:pt>
                <c:pt idx="1">
                  <c:v>Social Security</c:v>
                </c:pt>
                <c:pt idx="2">
                  <c:v>Retirement Income</c:v>
                </c:pt>
                <c:pt idx="3">
                  <c:v>Supplemental Security Income</c:v>
                </c:pt>
                <c:pt idx="4">
                  <c:v>Cash Public Assistance Income</c:v>
                </c:pt>
              </c:strCache>
            </c:strRef>
          </c:cat>
          <c:val>
            <c:numRef>
              <c:f>Sheet6!$B$2:$B$6</c:f>
              <c:numCache>
                <c:formatCode>0.0%</c:formatCode>
                <c:ptCount val="5"/>
                <c:pt idx="0">
                  <c:v>0.74</c:v>
                </c:pt>
                <c:pt idx="1">
                  <c:v>0.325</c:v>
                </c:pt>
                <c:pt idx="2">
                  <c:v>0.118</c:v>
                </c:pt>
                <c:pt idx="3">
                  <c:v>0.023</c:v>
                </c:pt>
                <c:pt idx="4">
                  <c:v>0.025</c:v>
                </c:pt>
              </c:numCache>
            </c:numRef>
          </c:val>
        </c:ser>
        <c:ser>
          <c:idx val="1"/>
          <c:order val="1"/>
          <c:tx>
            <c:strRef>
              <c:f>Sheet6!$C$1</c:f>
              <c:strCache>
                <c:ptCount val="1"/>
                <c:pt idx="0">
                  <c:v>year: 2010</c:v>
                </c:pt>
              </c:strCache>
            </c:strRef>
          </c:tx>
          <c:invertIfNegative val="0"/>
          <c:cat>
            <c:strRef>
              <c:f>Sheet6!$A$2:$A$6</c:f>
              <c:strCache>
                <c:ptCount val="5"/>
                <c:pt idx="0">
                  <c:v>Wages and Salary</c:v>
                </c:pt>
                <c:pt idx="1">
                  <c:v>Social Security</c:v>
                </c:pt>
                <c:pt idx="2">
                  <c:v>Retirement Income</c:v>
                </c:pt>
                <c:pt idx="3">
                  <c:v>Supplemental Security Income</c:v>
                </c:pt>
                <c:pt idx="4">
                  <c:v>Cash Public Assistance Income</c:v>
                </c:pt>
              </c:strCache>
            </c:strRef>
          </c:cat>
          <c:val>
            <c:numRef>
              <c:f>Sheet6!$C$2:$C$6</c:f>
              <c:numCache>
                <c:formatCode>0.00%</c:formatCode>
                <c:ptCount val="5"/>
                <c:pt idx="0">
                  <c:v>0.837</c:v>
                </c:pt>
                <c:pt idx="1">
                  <c:v>0.264</c:v>
                </c:pt>
                <c:pt idx="2">
                  <c:v>0.137</c:v>
                </c:pt>
                <c:pt idx="3">
                  <c:v>0.017</c:v>
                </c:pt>
                <c:pt idx="4">
                  <c:v>0.024</c:v>
                </c:pt>
              </c:numCache>
            </c:numRef>
          </c:val>
        </c:ser>
        <c:dLbls>
          <c:showLegendKey val="0"/>
          <c:showVal val="0"/>
          <c:showCatName val="0"/>
          <c:showSerName val="0"/>
          <c:showPercent val="0"/>
          <c:showBubbleSize val="0"/>
        </c:dLbls>
        <c:gapWidth val="150"/>
        <c:axId val="565551784"/>
        <c:axId val="493367176"/>
      </c:barChart>
      <c:catAx>
        <c:axId val="565551784"/>
        <c:scaling>
          <c:orientation val="minMax"/>
        </c:scaling>
        <c:delete val="0"/>
        <c:axPos val="b"/>
        <c:title>
          <c:tx>
            <c:rich>
              <a:bodyPr/>
              <a:lstStyle/>
              <a:p>
                <a:pPr>
                  <a:defRPr/>
                </a:pPr>
                <a:r>
                  <a:rPr lang="en-US"/>
                  <a:t>Income</a:t>
                </a:r>
              </a:p>
            </c:rich>
          </c:tx>
          <c:layout/>
          <c:overlay val="0"/>
        </c:title>
        <c:majorTickMark val="none"/>
        <c:minorTickMark val="none"/>
        <c:tickLblPos val="nextTo"/>
        <c:crossAx val="493367176"/>
        <c:crosses val="autoZero"/>
        <c:auto val="1"/>
        <c:lblAlgn val="ctr"/>
        <c:lblOffset val="100"/>
        <c:noMultiLvlLbl val="0"/>
      </c:catAx>
      <c:valAx>
        <c:axId val="493367176"/>
        <c:scaling>
          <c:orientation val="minMax"/>
        </c:scaling>
        <c:delete val="0"/>
        <c:axPos val="l"/>
        <c:majorGridlines/>
        <c:title>
          <c:tx>
            <c:rich>
              <a:bodyPr/>
              <a:lstStyle/>
              <a:p>
                <a:pPr>
                  <a:defRPr/>
                </a:pPr>
                <a:r>
                  <a:rPr lang="en-US"/>
                  <a:t>Percent</a:t>
                </a:r>
                <a:r>
                  <a:rPr lang="en-US" baseline="0"/>
                  <a:t> of Households with Income</a:t>
                </a:r>
                <a:endParaRPr lang="en-US"/>
              </a:p>
            </c:rich>
          </c:tx>
          <c:layout/>
          <c:overlay val="0"/>
        </c:title>
        <c:numFmt formatCode="0.0%" sourceLinked="1"/>
        <c:majorTickMark val="out"/>
        <c:minorTickMark val="none"/>
        <c:tickLblPos val="nextTo"/>
        <c:crossAx val="5655517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Percent</a:t>
            </a:r>
            <a:r>
              <a:rPr lang="en-US" baseline="0"/>
              <a:t> of Families Below Poverty Level in 2010</a:t>
            </a:r>
            <a:endParaRPr lang="en-US"/>
          </a:p>
        </c:rich>
      </c:tx>
      <c:layout/>
      <c:overlay val="0"/>
    </c:title>
    <c:autoTitleDeleted val="0"/>
    <c:plotArea>
      <c:layout/>
      <c:barChart>
        <c:barDir val="col"/>
        <c:grouping val="clustered"/>
        <c:varyColors val="0"/>
        <c:ser>
          <c:idx val="0"/>
          <c:order val="0"/>
          <c:tx>
            <c:strRef>
              <c:f>Sheet10!$B$1</c:f>
              <c:strCache>
                <c:ptCount val="1"/>
                <c:pt idx="0">
                  <c:v>Families</c:v>
                </c:pt>
              </c:strCache>
            </c:strRef>
          </c:tx>
          <c:invertIfNegative val="0"/>
          <c:cat>
            <c:strRef>
              <c:f>Sheet10!$A$2:$A$7</c:f>
              <c:strCache>
                <c:ptCount val="6"/>
                <c:pt idx="0">
                  <c:v>Morris</c:v>
                </c:pt>
                <c:pt idx="1">
                  <c:v>Hancock</c:v>
                </c:pt>
                <c:pt idx="2">
                  <c:v>Chokio</c:v>
                </c:pt>
                <c:pt idx="3">
                  <c:v>Donnelly</c:v>
                </c:pt>
                <c:pt idx="4">
                  <c:v>Alberta</c:v>
                </c:pt>
                <c:pt idx="5">
                  <c:v>Stevens County</c:v>
                </c:pt>
              </c:strCache>
            </c:strRef>
          </c:cat>
          <c:val>
            <c:numRef>
              <c:f>Sheet10!$B$2:$B$7</c:f>
              <c:numCache>
                <c:formatCode>0.0%</c:formatCode>
                <c:ptCount val="6"/>
                <c:pt idx="0">
                  <c:v>0.095</c:v>
                </c:pt>
                <c:pt idx="1">
                  <c:v>0.027</c:v>
                </c:pt>
                <c:pt idx="2" formatCode="0%">
                  <c:v>0.0</c:v>
                </c:pt>
                <c:pt idx="3">
                  <c:v>0.073</c:v>
                </c:pt>
                <c:pt idx="4" formatCode="0%">
                  <c:v>0.13</c:v>
                </c:pt>
                <c:pt idx="5">
                  <c:v>0.053</c:v>
                </c:pt>
              </c:numCache>
            </c:numRef>
          </c:val>
        </c:ser>
        <c:dLbls>
          <c:showLegendKey val="0"/>
          <c:showVal val="0"/>
          <c:showCatName val="0"/>
          <c:showSerName val="0"/>
          <c:showPercent val="0"/>
          <c:showBubbleSize val="0"/>
        </c:dLbls>
        <c:gapWidth val="150"/>
        <c:axId val="599590088"/>
        <c:axId val="611370616"/>
      </c:barChart>
      <c:catAx>
        <c:axId val="599590088"/>
        <c:scaling>
          <c:orientation val="minMax"/>
        </c:scaling>
        <c:delete val="0"/>
        <c:axPos val="b"/>
        <c:title>
          <c:tx>
            <c:rich>
              <a:bodyPr/>
              <a:lstStyle/>
              <a:p>
                <a:pPr>
                  <a:defRPr/>
                </a:pPr>
                <a:r>
                  <a:rPr lang="en-US"/>
                  <a:t>Location</a:t>
                </a:r>
              </a:p>
            </c:rich>
          </c:tx>
          <c:layout/>
          <c:overlay val="0"/>
        </c:title>
        <c:majorTickMark val="none"/>
        <c:minorTickMark val="none"/>
        <c:tickLblPos val="nextTo"/>
        <c:crossAx val="611370616"/>
        <c:crosses val="autoZero"/>
        <c:auto val="1"/>
        <c:lblAlgn val="ctr"/>
        <c:lblOffset val="100"/>
        <c:noMultiLvlLbl val="0"/>
      </c:catAx>
      <c:valAx>
        <c:axId val="611370616"/>
        <c:scaling>
          <c:orientation val="minMax"/>
        </c:scaling>
        <c:delete val="0"/>
        <c:axPos val="l"/>
        <c:majorGridlines/>
        <c:numFmt formatCode="0.0%" sourceLinked="1"/>
        <c:majorTickMark val="out"/>
        <c:minorTickMark val="none"/>
        <c:tickLblPos val="nextTo"/>
        <c:crossAx val="5995900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2909</Words>
  <Characters>16585</Characters>
  <Application>Microsoft Macintosh Word</Application>
  <DocSecurity>0</DocSecurity>
  <Lines>138</Lines>
  <Paragraphs>38</Paragraphs>
  <ScaleCrop>false</ScaleCrop>
  <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2012-07-24T16:50:00Z</dcterms:created>
  <dcterms:modified xsi:type="dcterms:W3CDTF">2012-07-24T16:50:00Z</dcterms:modified>
</cp:coreProperties>
</file>